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Deliver"/>
        <w:spacing w:before="240" w:after="0"/>
        <w:rPr>
          <w:sz w:val="23"/>
          <w:szCs w:val="23"/>
        </w:rPr>
      </w:pPr>
      <w:r>
        <w:rPr>
          <w:sz w:val="23"/>
          <w:szCs w:val="23"/>
        </w:rPr>
        <w:t>Privileged and Confidential:</w:t>
        <w:br/>
        <w:t>Attorney/Client Communication</w:t>
        <w:br/>
        <w:br/>
        <w:t>VIA E-MAIL</w:t>
      </w:r>
    </w:p>
    <w:tbl>
      <w:tblPr>
        <w:tblW w:w="9360" w:type="dxa"/>
        <w:jc w:val="start"/>
        <w:tblInd w:w="0" w:type="dxa"/>
        <w:tblLayout w:type="fixed"/>
        <w:tblCellMar>
          <w:top w:w="0" w:type="dxa"/>
          <w:start w:w="108" w:type="dxa"/>
          <w:bottom w:w="0" w:type="dxa"/>
          <w:end w:w="108" w:type="dxa"/>
        </w:tblCellMar>
      </w:tblPr>
      <w:tblGrid>
        <w:gridCol w:w="1440"/>
        <w:gridCol w:w="3960"/>
        <w:gridCol w:w="3960"/>
      </w:tblGrid>
      <w:tr>
        <w:trPr/>
        <w:tc>
          <w:tcPr>
            <w:tcW w:w="1440" w:type="dxa"/>
            <w:tcBorders/>
          </w:tcPr>
          <w:p>
            <w:pPr>
              <w:pStyle w:val="Normal"/>
              <w:spacing w:before="240" w:after="0"/>
              <w:rPr>
                <w:b/>
                <w:bCs/>
                <w:sz w:val="23"/>
                <w:szCs w:val="23"/>
              </w:rPr>
            </w:pPr>
            <w:bookmarkStart w:id="0" w:name="zBody"/>
            <w:bookmarkEnd w:id="0"/>
            <w:r>
              <w:rPr>
                <w:b/>
                <w:bCs/>
                <w:sz w:val="23"/>
                <w:szCs w:val="23"/>
              </w:rPr>
              <w:t>Date</w:t>
            </w:r>
            <w:bookmarkStart w:id="1" w:name="zAutoNum"/>
            <w:bookmarkEnd w:id="1"/>
            <w:r>
              <w:rPr>
                <w:b/>
                <w:bCs/>
                <w:sz w:val="23"/>
                <w:szCs w:val="23"/>
              </w:rPr>
              <w:t>:</w:t>
            </w:r>
          </w:p>
        </w:tc>
        <w:tc>
          <w:tcPr>
            <w:tcW w:w="3960" w:type="dxa"/>
            <w:tcBorders/>
          </w:tcPr>
          <w:p>
            <w:pPr>
              <w:pStyle w:val="zDate"/>
              <w:spacing w:before="240" w:after="0"/>
              <w:rPr>
                <w:sz w:val="23"/>
                <w:szCs w:val="23"/>
              </w:rPr>
            </w:pPr>
            <w:r>
              <w:rPr>
                <w:sz w:val="23"/>
                <w:szCs w:val="23"/>
              </w:rPr>
              <w:t>November 15, 2000</w:t>
            </w:r>
          </w:p>
        </w:tc>
        <w:tc>
          <w:tcPr>
            <w:tcW w:w="3960" w:type="dxa"/>
            <w:tcBorders/>
          </w:tcPr>
          <w:p>
            <w:pPr>
              <w:pStyle w:val="Plain"/>
              <w:spacing w:before="240" w:after="0"/>
              <w:jc w:val="end"/>
              <w:rPr>
                <w:sz w:val="20"/>
                <w:szCs w:val="20"/>
              </w:rPr>
            </w:pPr>
            <w:bookmarkStart w:id="2" w:name="zDirectDial"/>
            <w:bookmarkEnd w:id="2"/>
            <w:r>
              <w:rPr>
                <w:sz w:val="20"/>
                <w:szCs w:val="20"/>
              </w:rPr>
              <w:t>Direct: (415) 393-2394</w:t>
              <w:br/>
              <w:t>rjslaughter@mdbe.com</w:t>
            </w:r>
          </w:p>
        </w:tc>
      </w:tr>
      <w:tr>
        <w:trPr/>
        <w:tc>
          <w:tcPr>
            <w:tcW w:w="1440" w:type="dxa"/>
            <w:tcBorders/>
          </w:tcPr>
          <w:p>
            <w:pPr>
              <w:pStyle w:val="Normal"/>
              <w:spacing w:before="240" w:after="0"/>
              <w:rPr>
                <w:b/>
                <w:bCs/>
                <w:sz w:val="23"/>
                <w:szCs w:val="23"/>
              </w:rPr>
            </w:pPr>
            <w:r>
              <w:rPr>
                <w:b/>
                <w:bCs/>
                <w:sz w:val="23"/>
                <w:szCs w:val="23"/>
              </w:rPr>
              <w:t>To:</w:t>
            </w:r>
          </w:p>
        </w:tc>
        <w:tc>
          <w:tcPr>
            <w:tcW w:w="7920" w:type="dxa"/>
            <w:gridSpan w:val="2"/>
            <w:tcBorders/>
          </w:tcPr>
          <w:p>
            <w:pPr>
              <w:pStyle w:val="zName"/>
              <w:spacing w:before="240" w:after="0"/>
              <w:rPr>
                <w:sz w:val="23"/>
                <w:szCs w:val="23"/>
              </w:rPr>
            </w:pPr>
            <w:bookmarkStart w:id="3" w:name="StartClumpHere"/>
            <w:bookmarkStart w:id="4" w:name="zAddressee"/>
            <w:bookmarkStart w:id="5" w:name="zLOOKUP"/>
            <w:bookmarkEnd w:id="3"/>
            <w:bookmarkEnd w:id="4"/>
            <w:bookmarkEnd w:id="5"/>
            <w:r>
              <w:rPr>
                <w:sz w:val="23"/>
                <w:szCs w:val="23"/>
              </w:rPr>
              <w:t>Richard B. Sanders, Esq.</w:t>
            </w:r>
          </w:p>
          <w:p>
            <w:pPr>
              <w:pStyle w:val="zAddress"/>
              <w:rPr>
                <w:sz w:val="23"/>
                <w:szCs w:val="23"/>
              </w:rPr>
            </w:pPr>
            <w:r>
              <w:rPr>
                <w:sz w:val="23"/>
                <w:szCs w:val="23"/>
              </w:rPr>
              <w:t>Enron North America Corporation</w:t>
            </w:r>
          </w:p>
          <w:p>
            <w:pPr>
              <w:pStyle w:val="zAddress"/>
              <w:rPr>
                <w:sz w:val="23"/>
                <w:szCs w:val="23"/>
              </w:rPr>
            </w:pPr>
            <w:r>
              <w:rPr>
                <w:sz w:val="23"/>
                <w:szCs w:val="23"/>
              </w:rPr>
              <w:t>1400 Smith Street</w:t>
            </w:r>
          </w:p>
          <w:p>
            <w:pPr>
              <w:pStyle w:val="zAddress"/>
              <w:rPr>
                <w:sz w:val="23"/>
                <w:szCs w:val="23"/>
              </w:rPr>
            </w:pPr>
            <w:r>
              <w:rPr>
                <w:sz w:val="23"/>
                <w:szCs w:val="23"/>
              </w:rPr>
              <w:t>Houston, TX  77002</w:t>
            </w:r>
          </w:p>
          <w:p>
            <w:pPr>
              <w:pStyle w:val="zName"/>
              <w:rPr>
                <w:sz w:val="23"/>
                <w:szCs w:val="23"/>
              </w:rPr>
            </w:pPr>
            <w:r>
              <w:rPr>
                <w:sz w:val="23"/>
                <w:szCs w:val="23"/>
              </w:rPr>
              <w:t>Elizabeth Sager, Esq.</w:t>
            </w:r>
          </w:p>
          <w:p>
            <w:pPr>
              <w:pStyle w:val="zAddress"/>
              <w:rPr>
                <w:sz w:val="23"/>
                <w:szCs w:val="23"/>
              </w:rPr>
            </w:pPr>
            <w:r>
              <w:rPr>
                <w:sz w:val="23"/>
                <w:szCs w:val="23"/>
              </w:rPr>
              <w:t>Enron North America Corporation</w:t>
            </w:r>
          </w:p>
          <w:p>
            <w:pPr>
              <w:pStyle w:val="zAddress"/>
              <w:rPr>
                <w:sz w:val="23"/>
                <w:szCs w:val="23"/>
              </w:rPr>
            </w:pPr>
            <w:r>
              <w:rPr>
                <w:sz w:val="23"/>
                <w:szCs w:val="23"/>
              </w:rPr>
              <w:t>1400 Smith Street</w:t>
            </w:r>
          </w:p>
          <w:p>
            <w:pPr>
              <w:pStyle w:val="zAddress"/>
              <w:rPr>
                <w:sz w:val="23"/>
                <w:szCs w:val="23"/>
              </w:rPr>
            </w:pPr>
            <w:r>
              <w:rPr>
                <w:sz w:val="23"/>
                <w:szCs w:val="23"/>
              </w:rPr>
              <w:t>Houston, TX  77002</w:t>
            </w:r>
          </w:p>
          <w:p>
            <w:pPr>
              <w:pStyle w:val="zName"/>
              <w:rPr>
                <w:sz w:val="23"/>
                <w:szCs w:val="23"/>
              </w:rPr>
            </w:pPr>
            <w:r>
              <w:rPr>
                <w:sz w:val="23"/>
                <w:szCs w:val="23"/>
              </w:rPr>
              <w:t>Christian Yoder, Esq.</w:t>
            </w:r>
          </w:p>
          <w:p>
            <w:pPr>
              <w:pStyle w:val="zAddress"/>
              <w:rPr>
                <w:sz w:val="23"/>
                <w:szCs w:val="23"/>
              </w:rPr>
            </w:pPr>
            <w:r>
              <w:rPr>
                <w:sz w:val="23"/>
                <w:szCs w:val="23"/>
              </w:rPr>
              <w:t>Enron North America Corporation</w:t>
            </w:r>
          </w:p>
          <w:p>
            <w:pPr>
              <w:pStyle w:val="zAddress"/>
              <w:rPr>
                <w:sz w:val="23"/>
                <w:szCs w:val="23"/>
              </w:rPr>
            </w:pPr>
            <w:r>
              <w:rPr>
                <w:sz w:val="23"/>
                <w:szCs w:val="23"/>
              </w:rPr>
              <w:t>West Power Trading</w:t>
            </w:r>
          </w:p>
          <w:p>
            <w:pPr>
              <w:pStyle w:val="zAddress"/>
              <w:rPr>
                <w:sz w:val="23"/>
                <w:szCs w:val="23"/>
              </w:rPr>
            </w:pPr>
            <w:r>
              <w:rPr>
                <w:sz w:val="23"/>
                <w:szCs w:val="23"/>
              </w:rPr>
              <w:t>121 SW Salmon Street</w:t>
            </w:r>
          </w:p>
          <w:p>
            <w:pPr>
              <w:pStyle w:val="zAddress"/>
              <w:rPr>
                <w:sz w:val="23"/>
                <w:szCs w:val="23"/>
              </w:rPr>
            </w:pPr>
            <w:r>
              <w:rPr>
                <w:sz w:val="23"/>
                <w:szCs w:val="23"/>
              </w:rPr>
              <w:t>Portland, OR  97204</w:t>
            </w:r>
          </w:p>
        </w:tc>
      </w:tr>
      <w:tr>
        <w:trPr/>
        <w:tc>
          <w:tcPr>
            <w:tcW w:w="1440" w:type="dxa"/>
            <w:tcBorders/>
          </w:tcPr>
          <w:p>
            <w:pPr>
              <w:pStyle w:val="Normal"/>
              <w:spacing w:before="240" w:after="0"/>
              <w:rPr>
                <w:b/>
                <w:bCs/>
                <w:sz w:val="23"/>
                <w:szCs w:val="23"/>
              </w:rPr>
            </w:pPr>
            <w:r>
              <w:rPr>
                <w:b/>
                <w:bCs/>
                <w:sz w:val="23"/>
                <w:szCs w:val="23"/>
              </w:rPr>
              <w:t>From:</w:t>
            </w:r>
          </w:p>
        </w:tc>
        <w:tc>
          <w:tcPr>
            <w:tcW w:w="7920" w:type="dxa"/>
            <w:gridSpan w:val="2"/>
            <w:tcBorders/>
          </w:tcPr>
          <w:p>
            <w:pPr>
              <w:pStyle w:val="Plain"/>
              <w:spacing w:before="240" w:after="0"/>
              <w:rPr>
                <w:sz w:val="23"/>
                <w:szCs w:val="23"/>
              </w:rPr>
            </w:pPr>
            <w:bookmarkStart w:id="6" w:name="zA_CorrespondName"/>
            <w:bookmarkEnd w:id="6"/>
            <w:r>
              <w:rPr>
                <w:sz w:val="23"/>
                <w:szCs w:val="23"/>
              </w:rPr>
              <w:t>R. James Slaughter</w:t>
            </w:r>
            <w:bookmarkStart w:id="7" w:name="zTitle"/>
            <w:bookmarkEnd w:id="7"/>
          </w:p>
        </w:tc>
      </w:tr>
      <w:tr>
        <w:trPr/>
        <w:tc>
          <w:tcPr>
            <w:tcW w:w="1440" w:type="dxa"/>
            <w:tcBorders/>
          </w:tcPr>
          <w:p>
            <w:pPr>
              <w:pStyle w:val="Normal"/>
              <w:spacing w:before="240" w:after="240"/>
              <w:rPr>
                <w:b/>
                <w:bCs/>
                <w:sz w:val="23"/>
                <w:szCs w:val="23"/>
              </w:rPr>
            </w:pPr>
            <w:r>
              <w:rPr>
                <w:b/>
                <w:bCs/>
                <w:sz w:val="23"/>
                <w:szCs w:val="23"/>
              </w:rPr>
              <w:t>Re:</w:t>
            </w:r>
          </w:p>
        </w:tc>
        <w:tc>
          <w:tcPr>
            <w:tcW w:w="7920" w:type="dxa"/>
            <w:gridSpan w:val="2"/>
            <w:tcBorders/>
          </w:tcPr>
          <w:p>
            <w:pPr>
              <w:pStyle w:val="Plain"/>
              <w:spacing w:before="240" w:after="0"/>
              <w:rPr>
                <w:sz w:val="23"/>
                <w:szCs w:val="23"/>
              </w:rPr>
            </w:pPr>
            <w:bookmarkStart w:id="8" w:name="zSubject"/>
            <w:bookmarkEnd w:id="8"/>
            <w:r>
              <w:rPr>
                <w:sz w:val="23"/>
                <w:szCs w:val="23"/>
              </w:rPr>
              <w:t>California Tort Claims Act</w:t>
            </w:r>
          </w:p>
        </w:tc>
      </w:tr>
    </w:tbl>
    <w:p>
      <w:pPr>
        <w:pStyle w:val="bodytext1"/>
        <w:rPr>
          <w:sz w:val="23"/>
          <w:szCs w:val="23"/>
        </w:rPr>
      </w:pPr>
      <w:bookmarkStart w:id="9" w:name="zZ_Start"/>
      <w:bookmarkEnd w:id="9"/>
      <w:r>
        <w:rPr>
          <w:sz w:val="23"/>
          <w:szCs w:val="23"/>
        </w:rPr>
        <w:t xml:space="preserve">Enron is considering legal action against the City of Vernon (“Vernon”) resulting from Vernon’s breach of an oral agreement to buy power from Enron pursuant to the Western Systems Power Pool Agreement.  While ultimate litigation against Vernon in state court would proceed pursuant to customary rules of procedure (and standard substantive law), prior to initiating litigation Enron must comply with the California Tort Claims Act (Gov’t Code §§ 810-996.6).  The misnamed statute (it applies equally to contract claims as well as tort claims) provides uniform procedures for claims against public entities in California for “money or damages.”  Claims that do not seek a pecuniary award as the primary outcome are excluded from the Act.    </w:t>
      </w:r>
    </w:p>
    <w:p>
      <w:pPr>
        <w:pStyle w:val="bodytext1"/>
        <w:rPr>
          <w:sz w:val="23"/>
          <w:szCs w:val="23"/>
        </w:rPr>
      </w:pPr>
      <w:r>
        <w:rPr>
          <w:sz w:val="23"/>
          <w:szCs w:val="23"/>
        </w:rPr>
        <w:t>The principal feature of the Act, subject to certain exceptions which do not apply to our case, requires written presentation of a claim to the public entity prior to initiating litigation.  The claims presentation procedure is supposed to serve two basic purposes:  (1) to give the governmental entity an opportunity to settle the claim before suit is brought; and (2) to permit the governmental entity to make an early investigation of the facts on which the claim is based.</w:t>
      </w:r>
    </w:p>
    <w:p>
      <w:pPr>
        <w:pStyle w:val="bodytext1"/>
        <w:rPr>
          <w:sz w:val="23"/>
          <w:szCs w:val="23"/>
        </w:rPr>
      </w:pPr>
      <w:r>
        <w:rPr>
          <w:sz w:val="23"/>
          <w:szCs w:val="23"/>
        </w:rPr>
        <w:t>The basic outlines of the Act are:</w:t>
      </w:r>
    </w:p>
    <w:p>
      <w:pPr>
        <w:pStyle w:val="bodytext1"/>
        <w:spacing w:before="0" w:after="0"/>
        <w:rPr>
          <w:sz w:val="23"/>
          <w:szCs w:val="23"/>
        </w:rPr>
      </w:pPr>
      <w:r>
        <w:rPr>
          <w:sz w:val="23"/>
          <w:szCs w:val="23"/>
        </w:rPr>
      </w:r>
    </w:p>
    <w:tbl>
      <w:tblPr>
        <w:tblW w:w="9576" w:type="dxa"/>
        <w:jc w:val="start"/>
        <w:tblInd w:w="0" w:type="dxa"/>
        <w:tblLayout w:type="fixed"/>
        <w:tblCellMar>
          <w:top w:w="0" w:type="dxa"/>
          <w:start w:w="108" w:type="dxa"/>
          <w:bottom w:w="0" w:type="dxa"/>
          <w:end w:w="108" w:type="dxa"/>
        </w:tblCellMar>
      </w:tblPr>
      <w:tblGrid>
        <w:gridCol w:w="2808"/>
        <w:gridCol w:w="2160"/>
        <w:gridCol w:w="4608"/>
      </w:tblGrid>
      <w:tr>
        <w:trPr>
          <w:tblHeader w:val="true"/>
        </w:trPr>
        <w:tc>
          <w:tcPr>
            <w:tcW w:w="2808" w:type="dxa"/>
            <w:tcBorders>
              <w:top w:val="single" w:sz="6" w:space="0" w:color="000000"/>
              <w:start w:val="single" w:sz="6" w:space="0" w:color="000000"/>
              <w:bottom w:val="single" w:sz="6" w:space="0" w:color="000000"/>
              <w:end w:val="single" w:sz="6" w:space="0" w:color="000000"/>
            </w:tcBorders>
          </w:tcPr>
          <w:p>
            <w:pPr>
              <w:pStyle w:val="bodytext1"/>
              <w:snapToGrid w:val="false"/>
              <w:spacing w:before="0" w:after="0"/>
              <w:ind w:hanging="0" w:end="0"/>
              <w:jc w:val="center"/>
              <w:rPr>
                <w:b/>
                <w:bCs/>
                <w:i/>
                <w:i/>
                <w:iCs/>
                <w:sz w:val="23"/>
                <w:szCs w:val="23"/>
              </w:rPr>
            </w:pPr>
            <w:r>
              <w:rPr>
                <w:b/>
                <w:bCs/>
                <w:i/>
                <w:iCs/>
                <w:sz w:val="23"/>
                <w:szCs w:val="23"/>
              </w:rPr>
            </w:r>
          </w:p>
          <w:p>
            <w:pPr>
              <w:pStyle w:val="bodytext1"/>
              <w:spacing w:before="0" w:after="0"/>
              <w:ind w:hanging="0" w:end="0"/>
              <w:jc w:val="center"/>
              <w:rPr>
                <w:b/>
                <w:bCs/>
                <w:i/>
                <w:i/>
                <w:iCs/>
                <w:sz w:val="23"/>
                <w:szCs w:val="23"/>
              </w:rPr>
            </w:pPr>
            <w:r>
              <w:rPr>
                <w:b/>
                <w:bCs/>
                <w:i/>
                <w:iCs/>
                <w:sz w:val="23"/>
                <w:szCs w:val="23"/>
              </w:rPr>
              <w:t xml:space="preserve">Tort Claim Act </w:t>
            </w:r>
          </w:p>
          <w:p>
            <w:pPr>
              <w:pStyle w:val="bodytext1"/>
              <w:spacing w:before="0" w:after="0"/>
              <w:ind w:hanging="0" w:end="0"/>
              <w:jc w:val="center"/>
              <w:rPr>
                <w:b/>
                <w:bCs/>
                <w:i/>
                <w:i/>
                <w:iCs/>
                <w:sz w:val="23"/>
                <w:szCs w:val="23"/>
              </w:rPr>
            </w:pPr>
            <w:r>
              <w:rPr>
                <w:b/>
                <w:bCs/>
                <w:i/>
                <w:iCs/>
                <w:sz w:val="23"/>
                <w:szCs w:val="23"/>
              </w:rPr>
              <w:t>Required Action</w:t>
            </w:r>
          </w:p>
          <w:p>
            <w:pPr>
              <w:pStyle w:val="bodytext1"/>
              <w:spacing w:before="0" w:after="0"/>
              <w:ind w:hanging="0" w:end="0"/>
              <w:jc w:val="center"/>
              <w:rPr>
                <w:b/>
                <w:bCs/>
                <w:i/>
                <w:i/>
                <w:iCs/>
                <w:sz w:val="23"/>
                <w:szCs w:val="23"/>
              </w:rPr>
            </w:pPr>
            <w:r>
              <w:rPr>
                <w:b/>
                <w:bCs/>
                <w:i/>
                <w:iCs/>
                <w:sz w:val="23"/>
                <w:szCs w:val="23"/>
              </w:rPr>
            </w:r>
          </w:p>
        </w:tc>
        <w:tc>
          <w:tcPr>
            <w:tcW w:w="2160" w:type="dxa"/>
            <w:tcBorders>
              <w:top w:val="single" w:sz="6" w:space="0" w:color="000000"/>
              <w:start w:val="single" w:sz="6" w:space="0" w:color="000000"/>
              <w:bottom w:val="single" w:sz="6" w:space="0" w:color="000000"/>
              <w:end w:val="single" w:sz="6" w:space="0" w:color="000000"/>
            </w:tcBorders>
          </w:tcPr>
          <w:p>
            <w:pPr>
              <w:pStyle w:val="bodytext1"/>
              <w:snapToGrid w:val="false"/>
              <w:spacing w:before="0" w:after="0"/>
              <w:ind w:hanging="0" w:end="0"/>
              <w:jc w:val="center"/>
              <w:rPr>
                <w:b/>
                <w:bCs/>
                <w:i/>
                <w:i/>
                <w:iCs/>
                <w:sz w:val="23"/>
                <w:szCs w:val="23"/>
              </w:rPr>
            </w:pPr>
            <w:r>
              <w:rPr>
                <w:b/>
                <w:bCs/>
                <w:i/>
                <w:iCs/>
                <w:sz w:val="23"/>
                <w:szCs w:val="23"/>
              </w:rPr>
            </w:r>
          </w:p>
          <w:p>
            <w:pPr>
              <w:pStyle w:val="bodytext1"/>
              <w:spacing w:before="0" w:after="0"/>
              <w:ind w:hanging="0" w:end="0"/>
              <w:jc w:val="center"/>
              <w:rPr>
                <w:b/>
                <w:bCs/>
                <w:i/>
                <w:i/>
                <w:iCs/>
                <w:sz w:val="23"/>
                <w:szCs w:val="23"/>
              </w:rPr>
            </w:pPr>
            <w:r>
              <w:rPr>
                <w:b/>
                <w:bCs/>
                <w:i/>
                <w:iCs/>
                <w:sz w:val="23"/>
                <w:szCs w:val="23"/>
              </w:rPr>
              <w:t>Time Frame</w:t>
            </w:r>
          </w:p>
        </w:tc>
        <w:tc>
          <w:tcPr>
            <w:tcW w:w="4608" w:type="dxa"/>
            <w:tcBorders>
              <w:top w:val="single" w:sz="6" w:space="0" w:color="000000"/>
              <w:start w:val="single" w:sz="6" w:space="0" w:color="000000"/>
              <w:bottom w:val="single" w:sz="6" w:space="0" w:color="000000"/>
              <w:end w:val="single" w:sz="6" w:space="0" w:color="000000"/>
            </w:tcBorders>
          </w:tcPr>
          <w:p>
            <w:pPr>
              <w:pStyle w:val="bodytext1"/>
              <w:snapToGrid w:val="false"/>
              <w:spacing w:before="0" w:after="0"/>
              <w:ind w:hanging="0" w:end="0"/>
              <w:jc w:val="center"/>
              <w:rPr>
                <w:b/>
                <w:bCs/>
                <w:i/>
                <w:i/>
                <w:iCs/>
                <w:sz w:val="23"/>
                <w:szCs w:val="23"/>
              </w:rPr>
            </w:pPr>
            <w:r>
              <w:rPr>
                <w:b/>
                <w:bCs/>
                <w:i/>
                <w:iCs/>
                <w:sz w:val="23"/>
                <w:szCs w:val="23"/>
              </w:rPr>
            </w:r>
          </w:p>
          <w:p>
            <w:pPr>
              <w:pStyle w:val="bodytext1"/>
              <w:spacing w:before="0" w:after="0"/>
              <w:ind w:hanging="0" w:end="0"/>
              <w:jc w:val="center"/>
              <w:rPr>
                <w:b/>
                <w:bCs/>
                <w:i/>
                <w:i/>
                <w:iCs/>
                <w:sz w:val="23"/>
                <w:szCs w:val="23"/>
              </w:rPr>
            </w:pPr>
            <w:r>
              <w:rPr>
                <w:b/>
                <w:bCs/>
                <w:i/>
                <w:iCs/>
                <w:sz w:val="23"/>
                <w:szCs w:val="23"/>
              </w:rPr>
              <w:t>Notes</w:t>
            </w:r>
          </w:p>
        </w:tc>
      </w:tr>
      <w:tr>
        <w:trPr/>
        <w:tc>
          <w:tcPr>
            <w:tcW w:w="28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Presentation of a written claim to the public entity.</w:t>
            </w:r>
          </w:p>
        </w:tc>
        <w:tc>
          <w:tcPr>
            <w:tcW w:w="2160"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Within one year of accrual of cause of action.</w:t>
            </w:r>
          </w:p>
        </w:tc>
        <w:tc>
          <w:tcPr>
            <w:tcW w:w="46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 xml:space="preserve">Claim must include the following information:  (1) name and address of claimant and person to whom notices are to be sent; (2) statement of the “date, place, and other circumstances of the occurrence or transaction”; (3) the name of the public employee who caused the injury, if known; and (4) if the claim is above $10,000, whether jurisdiction rests in municipal or superior court.  § 910.  </w:t>
            </w:r>
          </w:p>
          <w:p>
            <w:pPr>
              <w:pStyle w:val="bodytext1"/>
              <w:spacing w:before="0" w:after="0"/>
              <w:ind w:hanging="0" w:end="0"/>
              <w:rPr>
                <w:sz w:val="23"/>
                <w:szCs w:val="23"/>
              </w:rPr>
            </w:pPr>
            <w:r>
              <w:rPr>
                <w:sz w:val="23"/>
                <w:szCs w:val="23"/>
              </w:rPr>
            </w:r>
          </w:p>
        </w:tc>
      </w:tr>
      <w:tr>
        <w:trPr/>
        <w:tc>
          <w:tcPr>
            <w:tcW w:w="28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Public entity gives written notice to claimant of defects, if any, in the claim.</w:t>
            </w:r>
          </w:p>
          <w:p>
            <w:pPr>
              <w:pStyle w:val="bodytext1"/>
              <w:spacing w:before="0" w:after="0"/>
              <w:ind w:hanging="0" w:end="0"/>
              <w:rPr>
                <w:sz w:val="23"/>
                <w:szCs w:val="23"/>
              </w:rPr>
            </w:pPr>
            <w:r>
              <w:rPr>
                <w:sz w:val="23"/>
                <w:szCs w:val="23"/>
              </w:rPr>
            </w:r>
          </w:p>
        </w:tc>
        <w:tc>
          <w:tcPr>
            <w:tcW w:w="2160"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Within 20 days of receipt of the claim.</w:t>
            </w:r>
          </w:p>
        </w:tc>
        <w:tc>
          <w:tcPr>
            <w:tcW w:w="46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 xml:space="preserve">If the public entity fails to give such notice, any defects are deemed waived.  If notice of deficiency is given, public entity cannot act on claim for 15 days.  §§ 910.8 - 9.11.  </w:t>
            </w:r>
          </w:p>
          <w:p>
            <w:pPr>
              <w:pStyle w:val="bodytext1"/>
              <w:spacing w:before="0" w:after="0"/>
              <w:ind w:hanging="0" w:end="0"/>
              <w:rPr>
                <w:sz w:val="23"/>
                <w:szCs w:val="23"/>
              </w:rPr>
            </w:pPr>
            <w:r>
              <w:rPr>
                <w:sz w:val="23"/>
                <w:szCs w:val="23"/>
              </w:rPr>
            </w:r>
          </w:p>
        </w:tc>
      </w:tr>
      <w:tr>
        <w:trPr/>
        <w:tc>
          <w:tcPr>
            <w:tcW w:w="28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Public entity gives written notice of acceptance or rejection of claim.</w:t>
            </w:r>
          </w:p>
          <w:p>
            <w:pPr>
              <w:pStyle w:val="bodytext1"/>
              <w:spacing w:before="0" w:after="0"/>
              <w:ind w:hanging="0" w:end="0"/>
              <w:rPr>
                <w:sz w:val="23"/>
                <w:szCs w:val="23"/>
              </w:rPr>
            </w:pPr>
            <w:r>
              <w:rPr>
                <w:sz w:val="23"/>
                <w:szCs w:val="23"/>
              </w:rPr>
            </w:r>
          </w:p>
        </w:tc>
        <w:tc>
          <w:tcPr>
            <w:tcW w:w="2160"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Within 45 days of receipt of the claim.</w:t>
            </w:r>
          </w:p>
        </w:tc>
        <w:tc>
          <w:tcPr>
            <w:tcW w:w="46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If public entity fails to provide written notice of acceptance or rejection of claim with 45 days, claim is deemed rejected.  §§ 912.4 913.</w:t>
            </w:r>
          </w:p>
          <w:p>
            <w:pPr>
              <w:pStyle w:val="bodytext1"/>
              <w:spacing w:before="0" w:after="0"/>
              <w:ind w:hanging="0" w:end="0"/>
              <w:rPr>
                <w:sz w:val="23"/>
                <w:szCs w:val="23"/>
              </w:rPr>
            </w:pPr>
            <w:r>
              <w:rPr>
                <w:sz w:val="23"/>
                <w:szCs w:val="23"/>
              </w:rPr>
            </w:r>
          </w:p>
        </w:tc>
      </w:tr>
      <w:tr>
        <w:trPr/>
        <w:tc>
          <w:tcPr>
            <w:tcW w:w="28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Claimant files suit if claim rejected.</w:t>
            </w:r>
          </w:p>
          <w:p>
            <w:pPr>
              <w:pStyle w:val="bodytext1"/>
              <w:spacing w:before="0" w:after="0"/>
              <w:ind w:hanging="0" w:end="0"/>
              <w:rPr>
                <w:sz w:val="23"/>
                <w:szCs w:val="23"/>
              </w:rPr>
            </w:pPr>
            <w:r>
              <w:rPr>
                <w:sz w:val="23"/>
                <w:szCs w:val="23"/>
              </w:rPr>
            </w:r>
          </w:p>
        </w:tc>
        <w:tc>
          <w:tcPr>
            <w:tcW w:w="2160"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rPr>
            </w:pPr>
            <w:r>
              <w:rPr>
                <w:sz w:val="23"/>
                <w:szCs w:val="23"/>
              </w:rPr>
              <w:t>Within six months or two years of rejection of claim, depending on method of rejection.</w:t>
            </w:r>
          </w:p>
        </w:tc>
        <w:tc>
          <w:tcPr>
            <w:tcW w:w="4608" w:type="dxa"/>
            <w:tcBorders>
              <w:top w:val="single" w:sz="6" w:space="0" w:color="000000"/>
              <w:start w:val="single" w:sz="6" w:space="0" w:color="000000"/>
              <w:bottom w:val="single" w:sz="6" w:space="0" w:color="000000"/>
              <w:end w:val="single" w:sz="6" w:space="0" w:color="000000"/>
            </w:tcBorders>
          </w:tcPr>
          <w:p>
            <w:pPr>
              <w:pStyle w:val="bodytext1"/>
              <w:spacing w:before="0" w:after="0"/>
              <w:ind w:hanging="0" w:end="0"/>
              <w:rPr>
                <w:sz w:val="23"/>
                <w:szCs w:val="23"/>
                <w:u w:val="single"/>
              </w:rPr>
            </w:pPr>
            <w:r>
              <w:rPr>
                <w:sz w:val="23"/>
                <w:szCs w:val="23"/>
                <w:u w:val="single"/>
              </w:rPr>
              <w:t>Six months</w:t>
            </w:r>
            <w:r>
              <w:rPr>
                <w:sz w:val="23"/>
                <w:szCs w:val="23"/>
              </w:rPr>
              <w:t xml:space="preserve"> from the date on which the written notice is personally delivered or mailed to claimant to file a court action if claim rejected by written notice.  § 945.6.  </w:t>
            </w:r>
          </w:p>
          <w:p>
            <w:pPr>
              <w:pStyle w:val="bodytext1"/>
              <w:spacing w:before="0" w:after="0"/>
              <w:ind w:hanging="0" w:end="0"/>
              <w:rPr/>
            </w:pPr>
            <w:r>
              <w:rPr>
                <w:sz w:val="23"/>
                <w:szCs w:val="23"/>
                <w:u w:val="single"/>
              </w:rPr>
              <w:t xml:space="preserve">Two years </w:t>
            </w:r>
            <w:r>
              <w:rPr>
                <w:sz w:val="23"/>
                <w:szCs w:val="23"/>
              </w:rPr>
              <w:t xml:space="preserve">from the date of accrual of the cause of action to file a court action if claim rejected by inaction.  § 945.6.  </w:t>
            </w:r>
          </w:p>
          <w:p>
            <w:pPr>
              <w:pStyle w:val="bodytext1"/>
              <w:spacing w:before="0" w:after="0"/>
              <w:ind w:hanging="0" w:end="0"/>
              <w:rPr>
                <w:sz w:val="23"/>
                <w:szCs w:val="23"/>
              </w:rPr>
            </w:pPr>
            <w:r>
              <w:rPr>
                <w:sz w:val="23"/>
                <w:szCs w:val="23"/>
              </w:rPr>
            </w:r>
          </w:p>
        </w:tc>
      </w:tr>
    </w:tbl>
    <w:p>
      <w:pPr>
        <w:pStyle w:val="bodytext1"/>
        <w:rPr>
          <w:sz w:val="23"/>
          <w:szCs w:val="23"/>
        </w:rPr>
      </w:pPr>
      <w:r>
        <w:rPr>
          <w:sz w:val="23"/>
          <w:szCs w:val="23"/>
        </w:rPr>
        <w:t>In our case, if we presented a claim to the City on December 1, the earliest date we could likely file a complaint in Superior Court would be 46 days later, or January 15, 2001.</w:t>
      </w:r>
    </w:p>
    <w:sectPr>
      <w:headerReference w:type="default" r:id="rId2"/>
      <w:headerReference w:type="first" r:id="rId3"/>
      <w:footerReference w:type="default" r:id="rId4"/>
      <w:footerReference w:type="first" r:id="rId5"/>
      <w:type w:val="nextPage"/>
      <w:pgSz w:w="12240" w:h="15840"/>
      <w:pgMar w:left="1440" w:right="1440" w:gutter="0" w:header="360" w:top="2160" w:footer="360" w:bottom="20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Univers Condensed">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
      <w:jc w:val="center"/>
      <w:rPr>
        <w:rFonts w:ascii="Arial" w:hAnsi="Arial" w:eastAsia="Arial" w:cs="Arial"/>
      </w:rPr>
    </w:pPr>
    <w:r>
      <w:rPr>
        <w:rFonts w:eastAsia="Arial" w:cs="Arial" w:ascii="Arial" w:hAnsi="Arial"/>
      </w:rPr>
    </w:r>
  </w:p>
  <w:p>
    <w:pPr>
      <w:pStyle w:val="Footer"/>
      <w:rPr/>
    </w:pPr>
    <w:r>
      <w:rPr/>
      <w:fldChar w:fldCharType="begin"/>
    </w:r>
    <w:r>
      <w:rPr/>
      <w:instrText xml:space="preserve"> FILENAME </w:instrText>
    </w:r>
    <w:r>
      <w:rPr/>
      <w:fldChar w:fldCharType="separate"/>
    </w:r>
    <w:r>
      <w:rPr/>
      <w:t>Memo_re_tort_claims_act.DOC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FirstFooter"/>
      <w:ind w:start="-547" w:end="-547"/>
      <w:rPr/>
    </w:pPr>
    <w:r>
      <w:rPr>
        <w:lang w:val="en-CA"/>
      </w:rPr>
      <w:fldChar w:fldCharType="begin"/>
    </w:r>
    <w:r>
      <w:rPr>
        <w:lang w:val="en-CA"/>
      </w:rPr>
      <w:instrText xml:space="preserve"> FILENAME </w:instrText>
    </w:r>
    <w:r>
      <w:rPr>
        <w:lang w:val="en-CA"/>
      </w:rPr>
      <w:fldChar w:fldCharType="separate"/>
    </w:r>
    <w:r>
      <w:rPr>
        <w:lang w:val="en-CA"/>
      </w:rPr>
      <w:t>Memo_re_tort_claims_act.DOC</w:t>
    </w:r>
    <w:r>
      <w:rPr>
        <w:lang w:val="en-CA"/>
      </w:rPr>
      <w:fldChar w:fldCharType="end"/>
    </w:r>
    <w:r>
      <w:rPr>
        <w:lang w:val="en-CA"/>
      </w:rPr>
      <w:t>/</w:t>
    </w:r>
    <w:r>
      <w:rPr>
        <w:lang w:val="en-CA"/>
      </w:rPr>
      <w:fldChar w:fldCharType="begin"/>
    </w:r>
    <w:r>
      <w:rPr>
        <w:lang w:val="en-CA"/>
      </w:rPr>
      <w:instrText xml:space="preserve"> KEYWORDS </w:instrText>
    </w:r>
    <w:r>
      <w:rPr>
        <w:lang w:val="en-CA"/>
      </w:rPr>
      <w:fldChar w:fldCharType="separate"/>
    </w:r>
    <w:r>
      <w:rPr>
        <w:lang w:val="en-CA"/>
      </w:rPr>
      <w:t>20578-0043</w:t>
    </w:r>
    <w:r>
      <w:rPr>
        <w:lang w:val="en-CA"/>
      </w:rPr>
      <w:fldChar w:fldCharType="end"/>
    </w:r>
    <w:r>
      <w:rPr>
        <w:lang w:val="en-CA"/>
      </w:rPr>
      <w:tab/>
    </w:r>
    <w:r>
      <w:rPr>
        <w:lang w:val="en-CA"/>
      </w:rPr>
      <w:fldChar w:fldCharType="begin"/>
    </w:r>
    <w:r>
      <w:rPr>
        <w:lang w:val="en-CA"/>
      </w:rPr>
      <w:instrText xml:space="preserve"> DATE \@"MM\/dd\/yy" </w:instrText>
    </w:r>
    <w:r>
      <w:rPr>
        <w:lang w:val="en-CA"/>
      </w:rPr>
      <w:fldChar w:fldCharType="separate"/>
    </w:r>
    <w:r>
      <w:rPr>
        <w:lang w:val="en-CA"/>
      </w:rPr>
      <w:t>09/28/25</w:t>
    </w:r>
    <w:r>
      <w:rPr>
        <w:lang w:val="en-CA"/>
      </w:rPr>
      <w:fldChar w:fldCharType="end"/>
    </w:r>
    <w:r>
      <w:rPr>
        <w:lang w:val="en-CA"/>
      </w:rPr>
      <w:t xml:space="preserve">  </w:t>
    </w:r>
    <w:r>
      <w:rPr>
        <w:lang w:val="en-CA"/>
      </w:rPr>
      <w:fldChar w:fldCharType="begin"/>
    </w:r>
    <w:r>
      <w:rPr>
        <w:lang w:val="en-CA"/>
      </w:rPr>
      <w:instrText xml:space="preserve"> TIME \@"HH:mm\ AM/PM" </w:instrText>
    </w:r>
    <w:r>
      <w:rPr>
        <w:lang w:val="en-CA"/>
      </w:rPr>
      <w:fldChar w:fldCharType="separate"/>
    </w:r>
    <w:r>
      <w:rPr>
        <w:lang w:val="en-CA"/>
      </w:rPr>
      <w:t>08:56 AM</w:t>
    </w:r>
    <w:r>
      <w:rPr>
        <w:lang w:val="en-CA"/>
      </w:rPr>
      <w:fldChar w:fldCharType="end"/>
    </w:r>
    <w:r>
      <mc:AlternateContent>
        <mc:Choice Requires="wps">
          <w:drawing>
            <wp:anchor behindDoc="0" distT="0" distB="0" distL="0" distR="0" simplePos="0" locked="0" layoutInCell="0" allowOverlap="1" relativeHeight="2">
              <wp:simplePos x="0" y="0"/>
              <wp:positionH relativeFrom="page">
                <wp:posOffset>366395</wp:posOffset>
              </wp:positionH>
              <wp:positionV relativeFrom="page">
                <wp:posOffset>8961755</wp:posOffset>
              </wp:positionV>
              <wp:extent cx="7178040" cy="20955"/>
              <wp:effectExtent l="0" t="0" r="0" b="0"/>
              <wp:wrapTopAndBottom/>
              <wp:docPr id="2" name="Frame1"/>
              <a:graphic xmlns:a="http://schemas.openxmlformats.org/drawingml/2006/main">
                <a:graphicData uri="http://schemas.microsoft.com/office/word/2010/wordprocessingShape">
                  <wps:wsp>
                    <wps:cNvSpPr txBox="1"/>
                    <wps:spPr>
                      <a:xfrm>
                        <a:off x="0" y="0"/>
                        <a:ext cx="7178040" cy="2095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3353"/>
                            <w:gridCol w:w="3204"/>
                            <w:gridCol w:w="1342"/>
                            <w:gridCol w:w="1461"/>
                          </w:tblGrid>
                          <w:tr>
                            <w:trPr/>
                            <w:tc>
                              <w:tcPr>
                                <w:tcW w:w="3353" w:type="dxa"/>
                                <w:tcBorders/>
                              </w:tcPr>
                              <w:p>
                                <w:pPr>
                                  <w:pStyle w:val="Normal"/>
                                  <w:rPr>
                                    <w:b/>
                                    <w:bCs/>
                                    <w:smallCaps/>
                                    <w:spacing w:val="70"/>
                                    <w:sz w:val="26"/>
                                    <w:szCs w:val="26"/>
                                  </w:rPr>
                                </w:pPr>
                                <w:r>
                                  <w:rPr>
                                    <w:b/>
                                    <w:bCs/>
                                    <w:smallCaps/>
                                    <w:spacing w:val="70"/>
                                    <w:sz w:val="26"/>
                                    <w:szCs w:val="26"/>
                                  </w:rPr>
                                  <w:t>Attorneys  At  Law</w:t>
                                </w:r>
                              </w:p>
                            </w:tc>
                            <w:tc>
                              <w:tcPr>
                                <w:tcW w:w="3204"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Three Embarcadero Center</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 California 94111-4067</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Tel. (415) 393-2000 Fax (415) 393-2286</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www.mccutchen.com</w:t>
                                </w:r>
                              </w:p>
                            </w:tc>
                            <w:tc>
                              <w:tcPr>
                                <w:tcW w:w="1342"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Los Angeles</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8"/>
                                    <w:sz w:val="18"/>
                                    <w:szCs w:val="18"/>
                                  </w:rPr>
                                  <w:t>Walnut Creek</w:t>
                                </w:r>
                              </w:p>
                            </w:tc>
                            <w:tc>
                              <w:tcPr>
                                <w:tcW w:w="1461"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Palo Alto</w:t>
                                </w:r>
                              </w:p>
                              <w:p>
                                <w:pPr>
                                  <w:pStyle w:val="Normal"/>
                                  <w:rPr>
                                    <w:rFonts w:ascii="Univers Condensed" w:hAnsi="Univers Condensed" w:eastAsia="Univers Condensed" w:cs="Univers Condensed"/>
                                    <w:spacing w:val="28"/>
                                    <w:sz w:val="18"/>
                                    <w:szCs w:val="18"/>
                                  </w:rPr>
                                </w:pPr>
                                <w:r>
                                  <w:rPr>
                                    <w:rFonts w:eastAsia="Univers Condensed" w:cs="Univers Condensed" w:ascii="Univers Condensed" w:hAnsi="Univers Condensed"/>
                                    <w:spacing w:val="28"/>
                                    <w:sz w:val="18"/>
                                    <w:szCs w:val="18"/>
                                  </w:rPr>
                                  <w:t>Taipei</w:t>
                                </w:r>
                              </w:p>
                            </w:tc>
                          </w:tr>
                        </w:tbl>
                      </w:txbxContent>
                    </wps:txbx>
                    <wps:bodyPr anchor="t" lIns="0" tIns="0" rIns="0" bIns="0">
                      <a:noAutofit/>
                    </wps:bodyPr>
                  </wps:wsp>
                </a:graphicData>
              </a:graphic>
            </wp:anchor>
          </w:drawing>
        </mc:Choice>
        <mc:Fallback>
          <w:pict>
            <v:rect fillcolor="#FFFFFF" style="position:absolute;rotation:-0;width:565.2pt;height:1.65pt;mso-wrap-distance-left:0pt;mso-wrap-distance-right:0pt;mso-wrap-distance-top:0pt;mso-wrap-distance-bottom:0pt;margin-top:705.65pt;mso-position-vertical-relative:page;margin-left:28.8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3353"/>
                      <w:gridCol w:w="3204"/>
                      <w:gridCol w:w="1342"/>
                      <w:gridCol w:w="1461"/>
                    </w:tblGrid>
                    <w:tr>
                      <w:trPr/>
                      <w:tc>
                        <w:tcPr>
                          <w:tcW w:w="3353" w:type="dxa"/>
                          <w:tcBorders/>
                        </w:tcPr>
                        <w:p>
                          <w:pPr>
                            <w:pStyle w:val="Normal"/>
                            <w:rPr>
                              <w:b/>
                              <w:bCs/>
                              <w:smallCaps/>
                              <w:spacing w:val="70"/>
                              <w:sz w:val="26"/>
                              <w:szCs w:val="26"/>
                            </w:rPr>
                          </w:pPr>
                          <w:r>
                            <w:rPr>
                              <w:b/>
                              <w:bCs/>
                              <w:smallCaps/>
                              <w:spacing w:val="70"/>
                              <w:sz w:val="26"/>
                              <w:szCs w:val="26"/>
                            </w:rPr>
                            <w:t>Attorneys  At  Law</w:t>
                          </w:r>
                        </w:p>
                      </w:tc>
                      <w:tc>
                        <w:tcPr>
                          <w:tcW w:w="3204"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Three Embarcadero Center</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 California 94111-4067</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Tel. (415) 393-2000 Fax (415) 393-2286</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www.mccutchen.com</w:t>
                          </w:r>
                        </w:p>
                      </w:tc>
                      <w:tc>
                        <w:tcPr>
                          <w:tcW w:w="1342"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Los Angeles</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8"/>
                              <w:sz w:val="18"/>
                              <w:szCs w:val="18"/>
                            </w:rPr>
                            <w:t>Walnut Creek</w:t>
                          </w:r>
                        </w:p>
                      </w:tc>
                      <w:tc>
                        <w:tcPr>
                          <w:tcW w:w="1461"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Palo Alto</w:t>
                          </w:r>
                        </w:p>
                        <w:p>
                          <w:pPr>
                            <w:pStyle w:val="Normal"/>
                            <w:rPr>
                              <w:rFonts w:ascii="Univers Condensed" w:hAnsi="Univers Condensed" w:eastAsia="Univers Condensed" w:cs="Univers Condensed"/>
                              <w:spacing w:val="28"/>
                              <w:sz w:val="18"/>
                              <w:szCs w:val="18"/>
                            </w:rPr>
                          </w:pPr>
                          <w:r>
                            <w:rPr>
                              <w:rFonts w:eastAsia="Univers Condensed" w:cs="Univers Condensed" w:ascii="Univers Condensed" w:hAnsi="Univers Condensed"/>
                              <w:spacing w:val="28"/>
                              <w:sz w:val="18"/>
                              <w:szCs w:val="18"/>
                            </w:rPr>
                            <w:t>Taipei</w:t>
                          </w:r>
                        </w:p>
                      </w:tc>
                    </w:tr>
                  </w:tbl>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FF"/>
      </w:rPr>
    </w:pPr>
    <w:r>
      <w:rPr>
        <w:color w:val="0000FF"/>
      </w:rPr>
      <w:t>Richard B. Sanders, Esq.</w:t>
    </w:r>
  </w:p>
  <w:p>
    <w:pPr>
      <w:pStyle w:val="Header"/>
      <w:rPr>
        <w:color w:val="0000FF"/>
      </w:rPr>
    </w:pPr>
    <w:r>
      <w:rPr>
        <w:color w:val="0000FF"/>
      </w:rPr>
      <w:t>Elizabeth Sager, Esq.</w:t>
    </w:r>
  </w:p>
  <w:p>
    <w:pPr>
      <w:pStyle w:val="Header"/>
      <w:rPr>
        <w:color w:val="0000FF"/>
      </w:rPr>
    </w:pPr>
    <w:r>
      <w:rPr>
        <w:color w:val="0000FF"/>
      </w:rPr>
      <w:t>Christian Yoder, Esq.</w:t>
    </w:r>
  </w:p>
  <w:p>
    <w:pPr>
      <w:pStyle w:val="Header"/>
      <w:rPr>
        <w:color w:val="0000FF"/>
      </w:rPr>
    </w:pPr>
    <w:r>
      <w:rPr>
        <w:color w:val="0000FF"/>
      </w:rPr>
    </w:r>
  </w:p>
  <w:p>
    <w:pPr>
      <w:pStyle w:val="Header"/>
      <w:spacing w:before="0" w:after="480"/>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r>
    <w:r>
      <mc:AlternateContent>
        <mc:Choice Requires="wps">
          <w:drawing>
            <wp:anchor behindDoc="0" distT="0" distB="0" distL="118745" distR="118745" simplePos="0" locked="0" layoutInCell="0" allowOverlap="1" relativeHeight="3">
              <wp:simplePos x="0" y="0"/>
              <wp:positionH relativeFrom="page">
                <wp:posOffset>365125</wp:posOffset>
              </wp:positionH>
              <wp:positionV relativeFrom="page">
                <wp:posOffset>549275</wp:posOffset>
              </wp:positionV>
              <wp:extent cx="2377440" cy="624840"/>
              <wp:effectExtent l="0" t="0" r="0" b="0"/>
              <wp:wrapTopAndBottom/>
              <wp:docPr id="1" name="Frame2"/>
              <a:graphic xmlns:a="http://schemas.openxmlformats.org/drawingml/2006/main">
                <a:graphicData uri="http://schemas.microsoft.com/office/word/2010/wordprocessingShape">
                  <wps:wsp>
                    <wps:cNvSpPr txBox="1"/>
                    <wps:spPr>
                      <a:xfrm>
                        <a:off x="0" y="0"/>
                        <a:ext cx="2377440" cy="62484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3744"/>
                          </w:tblGrid>
                          <w:tr>
                            <w:trPr>
                              <w:trHeight w:val="560" w:hRule="exact"/>
                            </w:trPr>
                            <w:tc>
                              <w:tcPr>
                                <w:tcW w:w="3744" w:type="dxa"/>
                                <w:tcBorders/>
                              </w:tcPr>
                              <w:p>
                                <w:pPr>
                                  <w:pStyle w:val="Plain"/>
                                  <w:shd w:fill="000000" w:val="clear"/>
                                  <w:spacing w:before="0" w:after="0"/>
                                  <w:jc w:val="center"/>
                                  <w:rPr>
                                    <w:b/>
                                    <w:bCs/>
                                    <w:spacing w:val="80"/>
                                    <w:kern w:val="2"/>
                                    <w:position w:val="6"/>
                                    <w:sz w:val="52"/>
                                    <w:szCs w:val="52"/>
                                  </w:rPr>
                                </w:pPr>
                                <w:r>
                                  <w:rPr>
                                    <w:smallCaps/>
                                    <w:position w:val="4"/>
                                    <w:sz w:val="20"/>
                                    <w:szCs w:val="20"/>
                                  </w:rPr>
                                  <w:t xml:space="preserve"> </w:t>
                                </w:r>
                                <w:r>
                                  <w:rPr>
                                    <w:smallCaps/>
                                    <w:spacing w:val="90"/>
                                    <w:position w:val="3"/>
                                    <w:sz w:val="54"/>
                                    <w:szCs w:val="54"/>
                                  </w:rPr>
                                  <w:t>McCutchen</w:t>
                                </w:r>
                              </w:p>
                            </w:tc>
                          </w:tr>
                          <w:tr>
                            <w:trPr/>
                            <w:tc>
                              <w:tcPr>
                                <w:tcW w:w="3744" w:type="dxa"/>
                                <w:tcBorders/>
                              </w:tcPr>
                              <w:p>
                                <w:pPr>
                                  <w:pStyle w:val="Plain"/>
                                  <w:spacing w:before="0" w:after="0"/>
                                  <w:jc w:val="center"/>
                                  <w:rPr>
                                    <w:b/>
                                    <w:bCs/>
                                    <w:smallCaps/>
                                    <w:sz w:val="18"/>
                                    <w:szCs w:val="18"/>
                                  </w:rPr>
                                </w:pPr>
                                <w:r>
                                  <w:rPr>
                                    <w:b/>
                                    <w:bCs/>
                                    <w:smallCaps/>
                                    <w:sz w:val="18"/>
                                    <w:szCs w:val="18"/>
                                  </w:rPr>
                                  <w:t>McCutchen,  Doyle,  Brown  &amp; Enersen,  llp</w:t>
                                </w:r>
                              </w:p>
                            </w:tc>
                          </w:tr>
                        </w:tbl>
                      </w:txbxContent>
                    </wps:txbx>
                    <wps:bodyPr anchor="t" lIns="0" tIns="0" rIns="0" bIns="0">
                      <a:noAutofit/>
                    </wps:bodyPr>
                  </wps:wsp>
                </a:graphicData>
              </a:graphic>
            </wp:anchor>
          </w:drawing>
        </mc:Choice>
        <mc:Fallback>
          <w:pict>
            <v:rect fillcolor="#FFFFFF" style="position:absolute;rotation:-0;width:187.2pt;height:49.2pt;mso-wrap-distance-left:9.35pt;mso-wrap-distance-right:9.35pt;mso-wrap-distance-top:0pt;mso-wrap-distance-bottom:0pt;margin-top:43.25pt;mso-position-vertical-relative:page;margin-left:28.7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3744"/>
                    </w:tblGrid>
                    <w:tr>
                      <w:trPr>
                        <w:trHeight w:val="560" w:hRule="exact"/>
                      </w:trPr>
                      <w:tc>
                        <w:tcPr>
                          <w:tcW w:w="3744" w:type="dxa"/>
                          <w:tcBorders/>
                        </w:tcPr>
                        <w:p>
                          <w:pPr>
                            <w:pStyle w:val="Plain"/>
                            <w:shd w:fill="000000" w:val="clear"/>
                            <w:spacing w:before="0" w:after="0"/>
                            <w:jc w:val="center"/>
                            <w:rPr>
                              <w:b/>
                              <w:bCs/>
                              <w:spacing w:val="80"/>
                              <w:kern w:val="2"/>
                              <w:position w:val="6"/>
                              <w:sz w:val="52"/>
                              <w:szCs w:val="52"/>
                            </w:rPr>
                          </w:pPr>
                          <w:r>
                            <w:rPr>
                              <w:smallCaps/>
                              <w:position w:val="4"/>
                              <w:sz w:val="20"/>
                              <w:szCs w:val="20"/>
                            </w:rPr>
                            <w:t xml:space="preserve"> </w:t>
                          </w:r>
                          <w:r>
                            <w:rPr>
                              <w:smallCaps/>
                              <w:spacing w:val="90"/>
                              <w:position w:val="3"/>
                              <w:sz w:val="54"/>
                              <w:szCs w:val="54"/>
                            </w:rPr>
                            <w:t>McCutchen</w:t>
                          </w:r>
                        </w:p>
                      </w:tc>
                    </w:tr>
                    <w:tr>
                      <w:trPr/>
                      <w:tc>
                        <w:tcPr>
                          <w:tcW w:w="3744" w:type="dxa"/>
                          <w:tcBorders/>
                        </w:tcPr>
                        <w:p>
                          <w:pPr>
                            <w:pStyle w:val="Plain"/>
                            <w:spacing w:before="0" w:after="0"/>
                            <w:jc w:val="center"/>
                            <w:rPr>
                              <w:b/>
                              <w:bCs/>
                              <w:smallCaps/>
                              <w:sz w:val="18"/>
                              <w:szCs w:val="18"/>
                            </w:rPr>
                          </w:pPr>
                          <w:r>
                            <w:rPr>
                              <w:b/>
                              <w:bCs/>
                              <w:smallCaps/>
                              <w:sz w:val="18"/>
                              <w:szCs w:val="18"/>
                            </w:rPr>
                            <w:t>McCutchen,  Doyle,  Brown  &amp; Enersen,  llp</w:t>
                          </w:r>
                        </w:p>
                      </w:tc>
                    </w:tr>
                  </w:tbl>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next w:val="bodytext1"/>
    <w:qFormat/>
    <w:pPr>
      <w:keepNext w:val="true"/>
      <w:keepLines/>
      <w:widowControl/>
      <w:numPr>
        <w:ilvl w:val="0"/>
        <w:numId w:val="1"/>
      </w:numPr>
      <w:bidi w:val="0"/>
      <w:spacing w:before="240" w:after="0"/>
      <w:ind w:hanging="720" w:start="720" w:end="1440"/>
      <w:outlineLvl w:val="0"/>
    </w:pPr>
    <w:rPr>
      <w:rFonts w:ascii="Times New Roman" w:hAnsi="Times New Roman" w:eastAsia="Times New Roman" w:cs="Times New Roman"/>
      <w:caps/>
      <w:color w:val="000080"/>
      <w:sz w:val="24"/>
      <w:szCs w:val="24"/>
      <w:lang w:val="en-US" w:eastAsia="zh-CN" w:bidi="hi-IN"/>
    </w:rPr>
  </w:style>
  <w:style w:type="paragraph" w:styleId="Heading2">
    <w:name w:val="heading 2"/>
    <w:basedOn w:val="Heading1"/>
    <w:next w:val="bodytext1"/>
    <w:qFormat/>
    <w:pPr>
      <w:numPr>
        <w:ilvl w:val="1"/>
        <w:numId w:val="1"/>
      </w:numPr>
      <w:ind w:hanging="720" w:start="1440" w:end="1440"/>
      <w:outlineLvl w:val="1"/>
    </w:pPr>
    <w:rPr>
      <w:caps w:val="false"/>
      <w:smallCaps w:val="false"/>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FootnoteCharacters">
    <w:name w:val="Footnote Characters"/>
    <w:basedOn w:val="DefaultParagraphFont"/>
    <w:qFormat/>
    <w:rPr>
      <w:color w:val="FF0000"/>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AnnotationText">
    <w:name w:val="Annotation Text"/>
    <w:basedOn w:val="Normal"/>
    <w:qFormat/>
    <w:pPr/>
    <w:rPr>
      <w:sz w:val="20"/>
      <w:szCs w:val="20"/>
    </w:rPr>
  </w:style>
  <w:style w:type="paragraph" w:styleId="zName">
    <w:name w:val="zName"/>
    <w:basedOn w:val="Normal"/>
    <w:next w:val="zAddress"/>
    <w:qFormat/>
    <w:pPr>
      <w:spacing w:before="240" w:after="0"/>
    </w:pPr>
    <w:rPr/>
  </w:style>
  <w:style w:type="paragraph" w:styleId="zCompanyName">
    <w:name w:val="zCompanyName"/>
    <w:basedOn w:val="zName"/>
    <w:qFormat/>
    <w:pPr>
      <w:spacing w:before="0" w:after="0"/>
    </w:pPr>
    <w:rPr/>
  </w:style>
  <w:style w:type="paragraph" w:styleId="zAddress">
    <w:name w:val="zAddress"/>
    <w:basedOn w:val="zCompanyName"/>
    <w:qFormat/>
    <w:pPr/>
    <w:rPr/>
  </w:style>
  <w:style w:type="paragraph" w:styleId="TOC1">
    <w:name w:val="toc 1"/>
    <w:basedOn w:val="Normal"/>
    <w:pPr>
      <w:tabs>
        <w:tab w:val="clear" w:pos="720"/>
        <w:tab w:val="decimal" w:pos="8280" w:leader="dot"/>
      </w:tabs>
      <w:spacing w:before="240" w:after="0"/>
      <w:ind w:hanging="360" w:start="360" w:end="0"/>
    </w:pPr>
    <w:rPr/>
  </w:style>
  <w:style w:type="paragraph" w:styleId="TOC2">
    <w:name w:val="toc 2"/>
    <w:basedOn w:val="TOC1"/>
    <w:pPr>
      <w:spacing w:before="120" w:after="0"/>
      <w:ind w:hanging="360" w:start="720" w:end="720"/>
    </w:pPr>
    <w:rPr/>
  </w:style>
  <w:style w:type="paragraph" w:styleId="TOC3">
    <w:name w:val="toc 3"/>
    <w:basedOn w:val="TOC2"/>
    <w:pPr>
      <w:ind w:hanging="360" w:start="1080" w:end="720"/>
    </w:pPr>
    <w:rPr/>
  </w:style>
  <w:style w:type="paragraph" w:styleId="TOC4">
    <w:name w:val="toc 4"/>
    <w:basedOn w:val="TOC3"/>
    <w:next w:val="Normal"/>
    <w:pPr>
      <w:ind w:hanging="360" w:start="1440" w:end="720"/>
    </w:pPr>
    <w:rPr/>
  </w:style>
  <w:style w:type="paragraph" w:styleId="TOC5">
    <w:name w:val="toc 5"/>
    <w:basedOn w:val="TOC4"/>
    <w:next w:val="Normal"/>
    <w:pPr>
      <w:ind w:hanging="360" w:start="180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8280" w:leader="none"/>
      </w:tabs>
      <w:ind w:hanging="0" w:start="-180" w:end="0"/>
    </w:pPr>
    <w:rPr>
      <w:rFonts w:ascii="Arial" w:hAnsi="Arial" w:eastAsia="Arial" w:cs="Arial"/>
      <w:vanish/>
      <w:color w:val="0000FF"/>
      <w:sz w:val="14"/>
      <w:szCs w:val="14"/>
      <w:lang w:val="en-CA"/>
    </w:rPr>
  </w:style>
  <w:style w:type="paragraph" w:styleId="Header">
    <w:name w:val="header"/>
    <w:basedOn w:val="Normal"/>
    <w:pPr/>
    <w:rPr/>
  </w:style>
  <w:style w:type="paragraph" w:styleId="FootnoteText">
    <w:name w:val="footnote text"/>
    <w:basedOn w:val="Normal"/>
    <w:pPr>
      <w:spacing w:before="240" w:after="0"/>
    </w:pPr>
    <w:rPr/>
  </w:style>
  <w:style w:type="paragraph" w:styleId="Plain">
    <w:name w:val="Plain"/>
    <w:basedOn w:val="Normal"/>
    <w:qFormat/>
    <w:pPr>
      <w:spacing w:before="240" w:after="0"/>
    </w:pPr>
    <w:rPr/>
  </w:style>
  <w:style w:type="paragraph" w:styleId="EnvelopeReturn">
    <w:name w:val="envelope return"/>
    <w:basedOn w:val="Normal"/>
    <w:qFormat/>
    <w:pPr/>
    <w:rPr>
      <w:sz w:val="20"/>
      <w:szCs w:val="20"/>
    </w:rPr>
  </w:style>
  <w:style w:type="paragraph" w:styleId="EnvelopeAddress">
    <w:name w:val="envelope address"/>
    <w:basedOn w:val="Normal"/>
    <w:qFormat/>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zDate">
    <w:name w:val="zDate"/>
    <w:basedOn w:val="Plain"/>
    <w:qFormat/>
    <w:pPr/>
    <w:rPr/>
  </w:style>
  <w:style w:type="paragraph" w:styleId="zFirstFooter">
    <w:name w:val="zFirstFooter"/>
    <w:basedOn w:val="Normal"/>
    <w:qFormat/>
    <w:pPr>
      <w:tabs>
        <w:tab w:val="clear" w:pos="720"/>
        <w:tab w:val="right" w:pos="10260" w:leader="none"/>
      </w:tabs>
      <w:ind w:hanging="0" w:start="-900" w:end="-900"/>
    </w:pPr>
    <w:rPr>
      <w:rFonts w:ascii="Arial" w:hAnsi="Arial" w:eastAsia="Arial" w:cs="Arial"/>
      <w:vanish/>
      <w:color w:val="0000FF"/>
      <w:sz w:val="14"/>
      <w:szCs w:val="14"/>
    </w:rPr>
  </w:style>
  <w:style w:type="paragraph" w:styleId="List1d">
    <w:name w:val="List 1.d"/>
    <w:basedOn w:val="ListBullet"/>
    <w:qFormat/>
    <w:pPr>
      <w:tabs>
        <w:tab w:val="clear" w:pos="720"/>
        <w:tab w:val="decimal" w:pos="504" w:leader="none"/>
      </w:tabs>
      <w:ind w:hanging="720" w:start="720" w:end="0"/>
    </w:pPr>
    <w:rPr/>
  </w:style>
  <w:style w:type="paragraph" w:styleId="List2d">
    <w:name w:val="List 2.d"/>
    <w:basedOn w:val="ListBullet2"/>
    <w:qFormat/>
    <w:pPr>
      <w:tabs>
        <w:tab w:val="clear" w:pos="720"/>
        <w:tab w:val="decimal" w:pos="1224" w:leader="none"/>
      </w:tabs>
      <w:ind w:hanging="720" w:start="1440" w:end="0"/>
    </w:pPr>
    <w:rPr/>
  </w:style>
  <w:style w:type="paragraph" w:styleId="List3d">
    <w:name w:val="List 3.d"/>
    <w:basedOn w:val="ListBullet3"/>
    <w:qFormat/>
    <w:pPr>
      <w:tabs>
        <w:tab w:val="clear" w:pos="720"/>
        <w:tab w:val="decimal" w:pos="1944" w:leader="none"/>
      </w:tabs>
      <w:ind w:hanging="720" w:start="2160" w:end="0"/>
    </w:pPr>
    <w:rPr/>
  </w:style>
  <w:style w:type="paragraph" w:styleId="List4d">
    <w:name w:val="List 4.d"/>
    <w:basedOn w:val="ListBullet4"/>
    <w:qFormat/>
    <w:pPr>
      <w:tabs>
        <w:tab w:val="clear" w:pos="720"/>
        <w:tab w:val="decimal" w:pos="2664" w:leader="none"/>
      </w:tabs>
      <w:ind w:hanging="720" w:start="2880" w:end="0"/>
    </w:pPr>
    <w:rPr/>
  </w:style>
  <w:style w:type="paragraph" w:styleId="List5d">
    <w:name w:val="List 5.d"/>
    <w:basedOn w:val="ListBullet5"/>
    <w:qFormat/>
    <w:pPr>
      <w:tabs>
        <w:tab w:val="clear" w:pos="720"/>
        <w:tab w:val="decimal" w:pos="3384" w:leader="none"/>
      </w:tabs>
      <w:ind w:hanging="720" w:start="3600" w:end="0"/>
    </w:pPr>
    <w:rPr/>
  </w:style>
  <w:style w:type="paragraph" w:styleId="Quote">
    <w:name w:val="Quote"/>
    <w:basedOn w:val="Normal"/>
    <w:qFormat/>
    <w:pPr>
      <w:spacing w:before="240" w:after="0"/>
      <w:ind w:hanging="0" w:start="1440" w:end="1440"/>
    </w:pPr>
    <w:rPr/>
  </w:style>
  <w:style w:type="paragraph" w:styleId="zFootName">
    <w:name w:val="zFootName"/>
    <w:basedOn w:val="Normal"/>
    <w:qFormat/>
    <w:pPr/>
    <w:rPr/>
  </w:style>
  <w:style w:type="paragraph" w:styleId="zMemoHeading">
    <w:name w:val="zMemoHeading"/>
    <w:basedOn w:val="Normal"/>
    <w:next w:val="Normal"/>
    <w:qFormat/>
    <w:pPr>
      <w:keepLines/>
      <w:spacing w:lineRule="atLeast" w:line="240" w:before="480" w:after="480"/>
      <w:jc w:val="center"/>
    </w:pPr>
    <w:rPr>
      <w:b/>
      <w:bCs/>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szCs w:val="16"/>
    </w:rPr>
  </w:style>
  <w:style w:type="paragraph" w:styleId="Interrogatory">
    <w:name w:val="Interrogatory"/>
    <w:basedOn w:val="Normal"/>
    <w:next w:val="bodytext1"/>
    <w:qFormat/>
    <w:pPr>
      <w:keepNext w:val="true"/>
      <w:spacing w:lineRule="exact" w:line="240" w:before="240" w:after="0"/>
    </w:pPr>
    <w:rPr>
      <w:u w:val="single"/>
    </w:rPr>
  </w:style>
  <w:style w:type="paragraph" w:styleId="zTitle">
    <w:name w:val="zTitle"/>
    <w:basedOn w:val="zName"/>
    <w:qFormat/>
    <w:pPr>
      <w:spacing w:before="0" w:after="0"/>
    </w:pPr>
    <w:rPr/>
  </w:style>
  <w:style w:type="paragraph" w:styleId="bodytextblock">
    <w:name w:val="body text block"/>
    <w:basedOn w:val="bodytext1"/>
    <w:next w:val="bodytext1"/>
    <w:qFormat/>
    <w:pPr>
      <w:ind w:hanging="0" w:start="0" w:end="0"/>
    </w:pPr>
    <w:rPr/>
  </w:style>
  <w:style w:type="paragraph" w:styleId="zSignature">
    <w:name w:val="zSignature"/>
    <w:basedOn w:val="Normal"/>
    <w:next w:val="Normal"/>
    <w:qFormat/>
    <w:pPr>
      <w:keepLines/>
      <w:spacing w:before="720" w:after="240"/>
      <w:ind w:hanging="0" w:start="5040" w:end="0"/>
    </w:pPr>
    <w:rPr/>
  </w:style>
  <w:style w:type="paragraph" w:styleId="zSignature2">
    <w:name w:val="zSignature2"/>
    <w:basedOn w:val="Normal"/>
    <w:next w:val="Normal"/>
    <w:qFormat/>
    <w:pPr>
      <w:ind w:hanging="0" w:start="5040" w:end="0"/>
    </w:pPr>
    <w:rPr>
      <w:sz w:val="20"/>
      <w:szCs w:val="20"/>
    </w:rPr>
  </w:style>
  <w:style w:type="paragraph" w:styleId="zDeliver">
    <w:name w:val="zDeliver"/>
    <w:basedOn w:val="bodytext1"/>
    <w:qFormat/>
    <w:pPr>
      <w:spacing w:lineRule="auto" w:line="240"/>
      <w:ind w:hanging="0" w:start="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I:\IMANAGE\WORD6\TEMPLATE.IA\MDMEMO02.DOT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2000-10-29T06:31:00Z</dcterms:created>
  <dc:creator>Hyde, Earl</dc:creator>
  <dc:description/>
  <cp:keywords>20578-0043</cp:keywords>
  <dc:language>en-CA</dc:language>
  <cp:lastModifiedBy>Hyde, Earl</cp:lastModifiedBy>
  <cp:lastPrinted>2000-11-15T17:15:00Z</cp:lastPrinted>
  <dcterms:modified xsi:type="dcterms:W3CDTF">2000-11-15T14:45:00Z</dcterms:modified>
  <cp:revision>8</cp:revision>
  <dc:subject/>
  <dc:title>Letter, Elizabeth Sager, Esq.
</dc:title>
</cp:coreProperties>
</file>