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val="false"/>
          <w:bCs/>
        </w:rPr>
      </w:pPr>
      <w:r>
        <w:rPr/>
        <w:drawing>
          <wp:inline distT="0" distB="0" distL="0" distR="0">
            <wp:extent cx="960755"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60755" cy="914400"/>
                    </a:xfrm>
                    <a:prstGeom prst="rect">
                      <a:avLst/>
                    </a:prstGeom>
                    <a:noFill/>
                  </pic:spPr>
                </pic:pic>
              </a:graphicData>
            </a:graphic>
          </wp:inline>
        </w:drawing>
      </w:r>
    </w:p>
    <w:p>
      <w:pPr>
        <w:pStyle w:val="Heading"/>
        <w:jc w:val="end"/>
        <w:rPr>
          <w:b w:val="false"/>
          <w:bCs/>
        </w:rPr>
      </w:pPr>
      <w:r>
        <w:rPr>
          <w:b w:val="false"/>
          <w:bCs/>
        </w:rPr>
      </w:r>
    </w:p>
    <w:tbl>
      <w:tblPr>
        <w:tblW w:w="10708" w:type="dxa"/>
        <w:jc w:val="start"/>
        <w:tblInd w:w="202" w:type="dxa"/>
        <w:tblLayout w:type="fixed"/>
        <w:tblCellMar>
          <w:top w:w="0" w:type="dxa"/>
          <w:start w:w="108" w:type="dxa"/>
          <w:bottom w:w="0" w:type="dxa"/>
          <w:end w:w="108" w:type="dxa"/>
        </w:tblCellMar>
      </w:tblPr>
      <w:tblGrid>
        <w:gridCol w:w="708"/>
        <w:gridCol w:w="6398"/>
        <w:gridCol w:w="990"/>
        <w:gridCol w:w="2612"/>
      </w:tblGrid>
      <w:tr>
        <w:trPr/>
        <w:tc>
          <w:tcPr>
            <w:tcW w:w="708" w:type="dxa"/>
            <w:tcBorders/>
          </w:tcPr>
          <w:p>
            <w:pPr>
              <w:pStyle w:val="Normal"/>
              <w:ind w:start="-180" w:end="0"/>
              <w:jc w:val="end"/>
              <w:rPr>
                <w:sz w:val="16"/>
              </w:rPr>
            </w:pPr>
            <w:r>
              <w:rPr>
                <w:sz w:val="16"/>
              </w:rPr>
              <w:t>To:</w:t>
            </w:r>
          </w:p>
        </w:tc>
        <w:tc>
          <w:tcPr>
            <w:tcW w:w="6398" w:type="dxa"/>
            <w:tcBorders/>
          </w:tcPr>
          <w:p>
            <w:pPr>
              <w:pStyle w:val="To"/>
              <w:rPr/>
            </w:pPr>
            <w:r>
              <w:rPr/>
              <w:t>File</w:t>
            </w:r>
          </w:p>
        </w:tc>
        <w:tc>
          <w:tcPr>
            <w:tcW w:w="990" w:type="dxa"/>
            <w:tcBorders/>
          </w:tcPr>
          <w:p>
            <w:pPr>
              <w:pStyle w:val="Normal"/>
              <w:snapToGrid w:val="false"/>
              <w:ind w:start="-180" w:end="0"/>
              <w:rPr>
                <w:sz w:val="20"/>
              </w:rPr>
            </w:pPr>
            <w:r>
              <w:rPr>
                <w:sz w:val="20"/>
              </w:rPr>
            </w:r>
          </w:p>
        </w:tc>
        <w:tc>
          <w:tcPr>
            <w:tcW w:w="2612" w:type="dxa"/>
            <w:tcBorders/>
          </w:tcPr>
          <w:p>
            <w:pPr>
              <w:pStyle w:val="Normal"/>
              <w:snapToGrid w:val="false"/>
              <w:rPr>
                <w:sz w:val="20"/>
              </w:rPr>
            </w:pPr>
            <w:r>
              <w:rPr>
                <w:sz w:val="20"/>
              </w:rPr>
            </w:r>
          </w:p>
        </w:tc>
      </w:tr>
      <w:tr>
        <w:trPr/>
        <w:tc>
          <w:tcPr>
            <w:tcW w:w="708" w:type="dxa"/>
            <w:tcBorders/>
          </w:tcPr>
          <w:p>
            <w:pPr>
              <w:pStyle w:val="Normal"/>
              <w:snapToGrid w:val="false"/>
              <w:ind w:start="-180" w:end="0"/>
              <w:jc w:val="end"/>
              <w:rPr>
                <w:sz w:val="18"/>
              </w:rPr>
            </w:pPr>
            <w:r>
              <w:rPr>
                <w:sz w:val="18"/>
              </w:rPr>
            </w:r>
          </w:p>
        </w:tc>
        <w:tc>
          <w:tcPr>
            <w:tcW w:w="6398"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612" w:type="dxa"/>
            <w:tcBorders/>
          </w:tcPr>
          <w:p>
            <w:pPr>
              <w:pStyle w:val="Normal"/>
              <w:snapToGrid w:val="false"/>
              <w:rPr>
                <w:sz w:val="18"/>
              </w:rPr>
            </w:pPr>
            <w:r>
              <w:rPr>
                <w:sz w:val="18"/>
              </w:rPr>
            </w:r>
          </w:p>
        </w:tc>
      </w:tr>
      <w:tr>
        <w:trPr/>
        <w:tc>
          <w:tcPr>
            <w:tcW w:w="708" w:type="dxa"/>
            <w:tcBorders/>
          </w:tcPr>
          <w:p>
            <w:pPr>
              <w:pStyle w:val="Normal"/>
              <w:ind w:start="-180" w:end="0"/>
              <w:jc w:val="end"/>
              <w:rPr>
                <w:sz w:val="16"/>
              </w:rPr>
            </w:pPr>
            <w:r>
              <w:rPr>
                <w:sz w:val="16"/>
              </w:rPr>
              <w:t>c:</w:t>
            </w:r>
          </w:p>
        </w:tc>
        <w:tc>
          <w:tcPr>
            <w:tcW w:w="6398" w:type="dxa"/>
            <w:tcBorders/>
          </w:tcPr>
          <w:p>
            <w:pPr>
              <w:pStyle w:val="Normal"/>
              <w:rPr>
                <w:sz w:val="18"/>
              </w:rPr>
            </w:pPr>
            <w:r>
              <w:rPr>
                <w:sz w:val="18"/>
              </w:rPr>
              <w:t>Mark Haedicke</w:t>
            </w:r>
          </w:p>
          <w:p>
            <w:pPr>
              <w:pStyle w:val="Normal"/>
              <w:rPr>
                <w:sz w:val="18"/>
              </w:rPr>
            </w:pPr>
            <w:r>
              <w:rPr>
                <w:sz w:val="18"/>
              </w:rPr>
              <w:t>Vicki Sharp</w:t>
            </w:r>
          </w:p>
          <w:p>
            <w:pPr>
              <w:pStyle w:val="Normal"/>
              <w:rPr>
                <w:sz w:val="18"/>
              </w:rPr>
            </w:pPr>
            <w:r>
              <w:rPr>
                <w:sz w:val="18"/>
              </w:rPr>
              <w:t>Dave Delainey</w:t>
            </w:r>
          </w:p>
          <w:p>
            <w:pPr>
              <w:pStyle w:val="Normal"/>
              <w:rPr>
                <w:sz w:val="18"/>
              </w:rPr>
            </w:pPr>
            <w:r>
              <w:rPr>
                <w:sz w:val="18"/>
              </w:rPr>
              <w:t>Rob Milnthorp</w:t>
            </w:r>
          </w:p>
          <w:p>
            <w:pPr>
              <w:pStyle w:val="Normal"/>
              <w:rPr>
                <w:sz w:val="18"/>
              </w:rPr>
            </w:pPr>
            <w:r>
              <w:rPr>
                <w:sz w:val="18"/>
              </w:rPr>
              <w:t>Peter Keohane</w:t>
            </w:r>
          </w:p>
        </w:tc>
        <w:tc>
          <w:tcPr>
            <w:tcW w:w="990" w:type="dxa"/>
            <w:tcBorders/>
          </w:tcPr>
          <w:p>
            <w:pPr>
              <w:pStyle w:val="Normal"/>
              <w:snapToGrid w:val="false"/>
              <w:ind w:start="-180" w:end="0"/>
              <w:rPr>
                <w:sz w:val="18"/>
              </w:rPr>
            </w:pPr>
            <w:r>
              <w:rPr>
                <w:sz w:val="18"/>
              </w:rPr>
            </w:r>
          </w:p>
        </w:tc>
        <w:tc>
          <w:tcPr>
            <w:tcW w:w="2612" w:type="dxa"/>
            <w:tcBorders/>
          </w:tcPr>
          <w:p>
            <w:pPr>
              <w:pStyle w:val="Normal"/>
              <w:snapToGrid w:val="false"/>
              <w:rPr>
                <w:sz w:val="18"/>
              </w:rPr>
            </w:pPr>
            <w:r>
              <w:rPr>
                <w:sz w:val="18"/>
              </w:rPr>
            </w:r>
          </w:p>
        </w:tc>
      </w:tr>
      <w:tr>
        <w:trPr/>
        <w:tc>
          <w:tcPr>
            <w:tcW w:w="708" w:type="dxa"/>
            <w:tcBorders/>
          </w:tcPr>
          <w:p>
            <w:pPr>
              <w:pStyle w:val="Normal"/>
              <w:snapToGrid w:val="false"/>
              <w:ind w:start="-180" w:end="0"/>
              <w:jc w:val="end"/>
              <w:rPr>
                <w:sz w:val="18"/>
              </w:rPr>
            </w:pPr>
            <w:r>
              <w:rPr>
                <w:sz w:val="18"/>
              </w:rPr>
            </w:r>
          </w:p>
        </w:tc>
        <w:tc>
          <w:tcPr>
            <w:tcW w:w="6398"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612" w:type="dxa"/>
            <w:tcBorders/>
          </w:tcPr>
          <w:p>
            <w:pPr>
              <w:pStyle w:val="Normal"/>
              <w:snapToGrid w:val="false"/>
              <w:rPr>
                <w:sz w:val="18"/>
              </w:rPr>
            </w:pPr>
            <w:r>
              <w:rPr>
                <w:sz w:val="18"/>
              </w:rPr>
            </w:r>
          </w:p>
        </w:tc>
      </w:tr>
      <w:tr>
        <w:trPr/>
        <w:tc>
          <w:tcPr>
            <w:tcW w:w="708" w:type="dxa"/>
            <w:tcBorders/>
          </w:tcPr>
          <w:p>
            <w:pPr>
              <w:pStyle w:val="Normal"/>
              <w:ind w:start="-180" w:end="0"/>
              <w:jc w:val="end"/>
              <w:rPr>
                <w:sz w:val="16"/>
              </w:rPr>
            </w:pPr>
            <w:r>
              <w:rPr>
                <w:sz w:val="16"/>
              </w:rPr>
              <w:t>From:</w:t>
            </w:r>
          </w:p>
        </w:tc>
        <w:tc>
          <w:tcPr>
            <w:tcW w:w="6398" w:type="dxa"/>
            <w:tcBorders/>
          </w:tcPr>
          <w:p>
            <w:pPr>
              <w:pStyle w:val="From"/>
              <w:rPr/>
            </w:pPr>
            <w:r>
              <w:rPr/>
              <w:t>Derek Flaman</w:t>
            </w:r>
          </w:p>
        </w:tc>
        <w:tc>
          <w:tcPr>
            <w:tcW w:w="990" w:type="dxa"/>
            <w:tcBorders/>
          </w:tcPr>
          <w:p>
            <w:pPr>
              <w:pStyle w:val="Normal"/>
              <w:ind w:start="-180" w:end="0"/>
              <w:jc w:val="end"/>
              <w:rPr>
                <w:sz w:val="16"/>
              </w:rPr>
            </w:pPr>
            <w:r>
              <w:rPr>
                <w:sz w:val="16"/>
              </w:rPr>
              <w:t>Department:</w:t>
            </w:r>
          </w:p>
        </w:tc>
        <w:tc>
          <w:tcPr>
            <w:tcW w:w="2612" w:type="dxa"/>
            <w:tcBorders/>
          </w:tcPr>
          <w:p>
            <w:pPr>
              <w:pStyle w:val="Department"/>
              <w:rPr/>
            </w:pPr>
            <w:bookmarkStart w:id="0" w:name="From"/>
            <w:bookmarkEnd w:id="0"/>
            <w:r>
              <w:rPr/>
              <w:t>Enron Direct – Legal Dept.</w:t>
            </w:r>
          </w:p>
        </w:tc>
      </w:tr>
      <w:tr>
        <w:trPr/>
        <w:tc>
          <w:tcPr>
            <w:tcW w:w="708" w:type="dxa"/>
            <w:tcBorders/>
          </w:tcPr>
          <w:p>
            <w:pPr>
              <w:pStyle w:val="Normal"/>
              <w:snapToGrid w:val="false"/>
              <w:ind w:start="-180" w:end="0"/>
              <w:jc w:val="end"/>
              <w:rPr>
                <w:sz w:val="18"/>
              </w:rPr>
            </w:pPr>
            <w:r>
              <w:rPr>
                <w:sz w:val="18"/>
              </w:rPr>
            </w:r>
          </w:p>
        </w:tc>
        <w:tc>
          <w:tcPr>
            <w:tcW w:w="6398"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612" w:type="dxa"/>
            <w:tcBorders/>
          </w:tcPr>
          <w:p>
            <w:pPr>
              <w:pStyle w:val="Normal"/>
              <w:snapToGrid w:val="false"/>
              <w:rPr>
                <w:sz w:val="18"/>
              </w:rPr>
            </w:pPr>
            <w:r>
              <w:rPr>
                <w:sz w:val="18"/>
              </w:rPr>
            </w:r>
          </w:p>
        </w:tc>
      </w:tr>
      <w:tr>
        <w:trPr/>
        <w:tc>
          <w:tcPr>
            <w:tcW w:w="708" w:type="dxa"/>
            <w:tcBorders>
              <w:bottom w:val="single" w:sz="12" w:space="0" w:color="000000"/>
            </w:tcBorders>
          </w:tcPr>
          <w:p>
            <w:pPr>
              <w:pStyle w:val="Normal"/>
              <w:ind w:start="-180" w:end="0"/>
              <w:jc w:val="end"/>
              <w:rPr>
                <w:sz w:val="16"/>
              </w:rPr>
            </w:pPr>
            <w:r>
              <w:rPr>
                <w:sz w:val="16"/>
              </w:rPr>
              <w:t>Subject:</w:t>
            </w:r>
          </w:p>
        </w:tc>
        <w:tc>
          <w:tcPr>
            <w:tcW w:w="6398" w:type="dxa"/>
            <w:tcBorders>
              <w:bottom w:val="single" w:sz="12" w:space="0" w:color="000000"/>
            </w:tcBorders>
          </w:tcPr>
          <w:p>
            <w:pPr>
              <w:pStyle w:val="Subject"/>
              <w:rPr/>
            </w:pPr>
            <w:r>
              <w:rPr/>
              <w:t>Legal Risks – Alberta Urban Municipalities Association (“AUMA”) Deal</w:t>
            </w:r>
          </w:p>
        </w:tc>
        <w:tc>
          <w:tcPr>
            <w:tcW w:w="990" w:type="dxa"/>
            <w:tcBorders>
              <w:bottom w:val="single" w:sz="12" w:space="0" w:color="000000"/>
            </w:tcBorders>
          </w:tcPr>
          <w:p>
            <w:pPr>
              <w:pStyle w:val="Normal"/>
              <w:ind w:start="-180" w:end="0"/>
              <w:jc w:val="end"/>
              <w:rPr>
                <w:sz w:val="16"/>
              </w:rPr>
            </w:pPr>
            <w:r>
              <w:rPr>
                <w:sz w:val="16"/>
              </w:rPr>
              <w:t>Date:</w:t>
            </w:r>
          </w:p>
        </w:tc>
        <w:tc>
          <w:tcPr>
            <w:tcW w:w="2612"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spacing w:before="0" w:after="60"/>
        <w:ind w:start="86" w:end="0"/>
        <w:jc w:val="both"/>
        <w:rPr>
          <w:sz w:val="22"/>
        </w:rPr>
      </w:pPr>
      <w:r>
        <w:rPr>
          <w:sz w:val="22"/>
        </w:rPr>
      </w:r>
      <w:bookmarkStart w:id="1" w:name="StartOfMemo"/>
      <w:bookmarkStart w:id="2" w:name="StartOfMemo"/>
      <w:bookmarkEnd w:id="2"/>
    </w:p>
    <w:p>
      <w:pPr>
        <w:pStyle w:val="Body"/>
        <w:spacing w:before="120" w:after="60"/>
        <w:ind w:start="86" w:end="0"/>
        <w:jc w:val="both"/>
        <w:rPr>
          <w:sz w:val="22"/>
        </w:rPr>
      </w:pPr>
      <w:r>
        <w:rPr>
          <w:sz w:val="22"/>
        </w:rPr>
        <w:t>RISK RATING - 2</w:t>
      </w:r>
    </w:p>
    <w:p>
      <w:pPr>
        <w:pStyle w:val="Body"/>
        <w:spacing w:before="120" w:after="60"/>
        <w:ind w:start="90" w:end="0"/>
        <w:jc w:val="both"/>
        <w:rPr>
          <w:sz w:val="22"/>
        </w:rPr>
      </w:pPr>
      <w:r>
        <w:rPr>
          <w:sz w:val="22"/>
          <w:u w:val="single"/>
        </w:rPr>
        <w:t>Description of Transaction</w:t>
      </w:r>
    </w:p>
    <w:p>
      <w:pPr>
        <w:pStyle w:val="Body"/>
        <w:spacing w:before="120" w:after="60"/>
        <w:ind w:start="90" w:end="0"/>
        <w:jc w:val="both"/>
        <w:rPr>
          <w:sz w:val="22"/>
        </w:rPr>
      </w:pPr>
      <w:r>
        <w:rPr>
          <w:sz w:val="22"/>
        </w:rPr>
        <w:t>The AUMA is negotiating the form of natural gas supply agreement (the “Agreement”) for and on behalf of all its participating member munis (approximately 150).  The Agreement is based on Enron Direct Canada Corp.’s (“EDC’s”) standard form retail contract.  Each muni will execute the Agreement thereby establishing a contract between EDC and each muni (the AUMA is not a party to the Agreement).  It is currently expected that the munis will be signing up for a 5 year deal, the commodity price will be approximately $5/GJ, and the aggregate annual volume will be between 2.5 million and 4 million GJ’s.</w:t>
      </w:r>
    </w:p>
    <w:p>
      <w:pPr>
        <w:pStyle w:val="Body"/>
        <w:spacing w:before="120" w:after="60"/>
        <w:ind w:start="90" w:end="0"/>
        <w:jc w:val="both"/>
        <w:rPr>
          <w:sz w:val="22"/>
        </w:rPr>
      </w:pPr>
      <w:r>
        <w:rPr>
          <w:sz w:val="22"/>
          <w:u w:val="single"/>
        </w:rPr>
        <w:t>Identified Risk</w:t>
      </w:r>
    </w:p>
    <w:p>
      <w:pPr>
        <w:pStyle w:val="Body"/>
        <w:spacing w:before="120" w:after="60"/>
        <w:ind w:start="90" w:end="0"/>
        <w:jc w:val="both"/>
        <w:rPr>
          <w:sz w:val="22"/>
        </w:rPr>
      </w:pPr>
      <w:r>
        <w:rPr>
          <w:sz w:val="22"/>
        </w:rPr>
        <w:t>In Alberta, provincial legislation provides that a muni has the capacity to execute and be bound by contract as well as the ability to sue and be sued on the contract.  However, there may be local provisions that restrict the capacity of a particular muni.  Consequently, if a muni were to enter a contract without substantially complying with its local restrictions, it might at some future point raise the ultra vires defence; i.e. argue that when the muni contracted, it did so beyond its local restrictions.  If a muni were to successfully argue the ultra vires defence, the Agreement, as it pertains to that muni, would be void as of the date of execution.</w:t>
      </w:r>
    </w:p>
    <w:p>
      <w:pPr>
        <w:pStyle w:val="Body"/>
        <w:spacing w:before="120" w:after="60"/>
        <w:ind w:start="90" w:end="0"/>
        <w:jc w:val="both"/>
        <w:rPr>
          <w:sz w:val="22"/>
        </w:rPr>
      </w:pPr>
      <w:r>
        <w:rPr>
          <w:sz w:val="22"/>
          <w:u w:val="single"/>
        </w:rPr>
        <w:t>Approaches</w:t>
      </w:r>
    </w:p>
    <w:p>
      <w:pPr>
        <w:pStyle w:val="Body"/>
        <w:numPr>
          <w:ilvl w:val="0"/>
          <w:numId w:val="2"/>
        </w:numPr>
        <w:spacing w:before="120" w:after="60"/>
        <w:jc w:val="both"/>
        <w:rPr>
          <w:sz w:val="22"/>
        </w:rPr>
      </w:pPr>
      <w:r>
        <w:rPr>
          <w:sz w:val="22"/>
        </w:rPr>
        <w:t>Certain evidence – Enron Direct could be quite certain that there are no local restrictions if it could obtain either: (a) a certified copy of a resolution of the governing body of the muni stating that the muni has read the Agreement and that it has the requisite authority to be bound by the terms of the Agreement, or (b) a legal opinion from the muni’s lawyer wherein the lawyer states that the muni is not subject to local restrictions and therefore has the proper authority to enter into the Agreement (I will refer to these collectively as “certain evidence”).</w:t>
      </w:r>
    </w:p>
    <w:p>
      <w:pPr>
        <w:pStyle w:val="Body"/>
        <w:spacing w:before="120" w:after="60"/>
        <w:ind w:start="720" w:end="0"/>
        <w:jc w:val="both"/>
        <w:rPr>
          <w:sz w:val="22"/>
        </w:rPr>
      </w:pPr>
      <w:r>
        <w:rPr>
          <w:sz w:val="22"/>
        </w:rPr>
        <w:t>We discussed this approach both internally and with the AUMA; however, for the following reasons we decided that it was not feasible to obtain certain evidence: (i) timing – to do so would be very time consuming (probably several weeks), and (ii) the AUMA is opposed to having munis provide certain evidence, arguing as well that none of our competitors require certain evidence.</w:t>
      </w:r>
    </w:p>
    <w:p>
      <w:pPr>
        <w:pStyle w:val="Body"/>
        <w:numPr>
          <w:ilvl w:val="0"/>
          <w:numId w:val="2"/>
        </w:numPr>
        <w:spacing w:before="120" w:after="60"/>
        <w:jc w:val="both"/>
        <w:rPr>
          <w:sz w:val="22"/>
        </w:rPr>
      </w:pPr>
      <w:r>
        <w:rPr>
          <w:sz w:val="22"/>
        </w:rPr>
        <w:t>Approval form – The AUMA is prepared to have each muni sign what they call an “approval form”.  The approval form will be signed by the employees/agents of the muni (the mayor, aldermen, etc.) and will simply state that the muni authorizes a designated representative(s) to “execute a 5 year gas deal with a ceiling price of ‘x’” (i.e. the requisite members of the muni would not have reviewed the specific terms of the Agreement).</w:t>
      </w:r>
    </w:p>
    <w:p>
      <w:pPr>
        <w:pStyle w:val="Body"/>
        <w:spacing w:before="120" w:after="60"/>
        <w:ind w:start="720" w:end="0"/>
        <w:jc w:val="both"/>
        <w:rPr>
          <w:sz w:val="22"/>
        </w:rPr>
      </w:pPr>
      <w:r>
        <w:rPr>
          <w:sz w:val="22"/>
        </w:rPr>
        <w:t>Because the muni is not reviewing the specific terms of the Agreement and is not providing us with certain evidence of its authority to contract, we cannot be certain that there are no local restrictions.</w:t>
      </w:r>
    </w:p>
    <w:p>
      <w:pPr>
        <w:pStyle w:val="Body"/>
        <w:numPr>
          <w:ilvl w:val="0"/>
          <w:numId w:val="2"/>
        </w:numPr>
        <w:spacing w:before="120" w:after="60"/>
        <w:jc w:val="both"/>
        <w:rPr>
          <w:sz w:val="22"/>
        </w:rPr>
      </w:pPr>
      <w:r>
        <w:rPr>
          <w:sz w:val="22"/>
        </w:rPr>
        <w:t xml:space="preserve">Reps and Warranties in Agreement – In the Agreement, each muni represents and warrants that it has sufficient authority to enter into the Agreement and perform its obligations under the Agreement, and that the person(s) executing are the duly authorized representatives of the muni.  However, there may be local restrictions (e.g. by-laws) that restrict the capacity of the muni to enter into the Agreement.  </w:t>
      </w:r>
    </w:p>
    <w:p>
      <w:pPr>
        <w:pStyle w:val="Body"/>
        <w:spacing w:before="120" w:after="60"/>
        <w:ind w:start="720" w:end="0"/>
        <w:jc w:val="both"/>
        <w:rPr>
          <w:sz w:val="22"/>
        </w:rPr>
      </w:pPr>
      <w:r>
        <w:rPr>
          <w:sz w:val="22"/>
        </w:rPr>
        <w:t>Notwithstanding that the muni has so represented and warranted, if the local restrictions stipulated otherwise, it is arguable we could not rely on the rep and warranty in the Agreement as the Agreement may be void (i.e. it was never an enforceable contract).</w:t>
      </w:r>
    </w:p>
    <w:p>
      <w:pPr>
        <w:pStyle w:val="Body"/>
        <w:numPr>
          <w:ilvl w:val="0"/>
          <w:numId w:val="2"/>
        </w:numPr>
        <w:spacing w:before="120" w:after="60"/>
        <w:jc w:val="both"/>
        <w:rPr>
          <w:sz w:val="22"/>
        </w:rPr>
      </w:pPr>
      <w:r>
        <w:rPr>
          <w:sz w:val="22"/>
        </w:rPr>
        <w:t>Legal research – At the outset we eliminated the possibility of an “appropriations issue” in Alberta; that is, there is no law in Alberta stating that a contract obligating a muni to make future payments for funds which are not yet appropriated constitutes a debt and is thereby constitutionally void.</w:t>
      </w:r>
    </w:p>
    <w:p>
      <w:pPr>
        <w:pStyle w:val="Body"/>
        <w:spacing w:before="120" w:after="60"/>
        <w:ind w:start="720" w:end="0"/>
        <w:jc w:val="both"/>
        <w:rPr>
          <w:sz w:val="22"/>
        </w:rPr>
      </w:pPr>
      <w:r>
        <w:rPr>
          <w:sz w:val="22"/>
        </w:rPr>
        <w:t>Subsequently, we researched the case law to ascertain the extent to which munis have successfully argued the ultra vires doctrine to avoid contractual obligations.  As noted below, the ultra vires defence has been used by muni’s in limited circumstances.</w:t>
      </w:r>
    </w:p>
    <w:p>
      <w:pPr>
        <w:pStyle w:val="Body"/>
        <w:spacing w:before="120" w:after="60"/>
        <w:ind w:start="90" w:end="0"/>
        <w:jc w:val="both"/>
        <w:rPr>
          <w:sz w:val="22"/>
        </w:rPr>
      </w:pPr>
      <w:r>
        <w:rPr>
          <w:sz w:val="22"/>
          <w:u w:val="single"/>
        </w:rPr>
        <w:t>Mitigants</w:t>
      </w:r>
    </w:p>
    <w:p>
      <w:pPr>
        <w:pStyle w:val="Body"/>
        <w:numPr>
          <w:ilvl w:val="0"/>
          <w:numId w:val="3"/>
        </w:numPr>
        <w:spacing w:before="120" w:after="60"/>
        <w:jc w:val="both"/>
        <w:rPr>
          <w:sz w:val="22"/>
        </w:rPr>
      </w:pPr>
      <w:r>
        <w:rPr>
          <w:sz w:val="22"/>
        </w:rPr>
        <w:t>Approval form – Although it speaks only to who is authorized to execute the Agreement and not local restrictions or capacity to transact, the approval form is some form of evidence, as are the contractual representations and warranties.</w:t>
      </w:r>
    </w:p>
    <w:p>
      <w:pPr>
        <w:pStyle w:val="Body"/>
        <w:numPr>
          <w:ilvl w:val="0"/>
          <w:numId w:val="3"/>
        </w:numPr>
        <w:spacing w:before="120" w:after="60"/>
        <w:jc w:val="both"/>
        <w:rPr>
          <w:sz w:val="22"/>
        </w:rPr>
      </w:pPr>
      <w:r>
        <w:rPr>
          <w:sz w:val="22"/>
        </w:rPr>
        <w:t>Research – As noted, appropriations are not an issue.</w:t>
      </w:r>
    </w:p>
    <w:p>
      <w:pPr>
        <w:pStyle w:val="Body"/>
        <w:spacing w:before="120" w:after="60"/>
        <w:ind w:start="720" w:end="0"/>
        <w:jc w:val="both"/>
        <w:rPr>
          <w:sz w:val="22"/>
        </w:rPr>
      </w:pPr>
      <w:r>
        <w:rPr>
          <w:sz w:val="22"/>
        </w:rPr>
        <w:t>Munis have, in limited circumstances, employed the ultra vires doctrine to attempt to avoid contractual obligations.  Even in those situations, the courts have employed one of two limitations on the muni’s ultra vires defence:</w:t>
      </w:r>
    </w:p>
    <w:p>
      <w:pPr>
        <w:pStyle w:val="Body"/>
        <w:numPr>
          <w:ilvl w:val="1"/>
          <w:numId w:val="3"/>
        </w:numPr>
        <w:spacing w:before="120" w:after="60"/>
        <w:jc w:val="both"/>
        <w:rPr>
          <w:sz w:val="22"/>
        </w:rPr>
      </w:pPr>
      <w:r>
        <w:rPr>
          <w:sz w:val="22"/>
        </w:rPr>
        <w:t>Estoppel – because of the muni’s conduct in representing its authority and because the contract fell within the muni’s general contracting powers, the muni was prevented by estoppel from relying on the ultra vires defence; the contract was held not to be ultra vires and the counterparty was entitled to rely on the reps and warranties in the contract that the muni had the authority to contract.  (The outcome is to hold the muni to a contract which is otherwise outside its capacity.)</w:t>
      </w:r>
    </w:p>
    <w:p>
      <w:pPr>
        <w:pStyle w:val="Body"/>
        <w:numPr>
          <w:ilvl w:val="1"/>
          <w:numId w:val="3"/>
        </w:numPr>
        <w:spacing w:before="120" w:after="60"/>
        <w:jc w:val="both"/>
        <w:rPr>
          <w:sz w:val="22"/>
        </w:rPr>
      </w:pPr>
      <w:r>
        <w:rPr>
          <w:sz w:val="22"/>
        </w:rPr>
        <w:t>Unjust enrichment – although the muni was allowed to rely on the ultra vires defence, it was required to compensate the counterparty for the goods provided or services performed.  This will not result in an ideal form of remedy in that (i) the measure of damages for gas delivered may be a “reasonable” amount set by the court that could be less than the contracted amount, and (ii) it does not provide a measure of damages for the loss position (if any) for the balance of the term.  (This may be the more likely outcome as it is consistent with the ultra vires doctrine and the muni’s lack of capacity.)</w:t>
      </w:r>
    </w:p>
    <w:p>
      <w:pPr>
        <w:pStyle w:val="Body"/>
        <w:keepNext w:val="true"/>
        <w:spacing w:before="120" w:after="60"/>
        <w:ind w:start="86" w:end="0"/>
        <w:jc w:val="both"/>
        <w:rPr>
          <w:sz w:val="22"/>
          <w:u w:val="single"/>
        </w:rPr>
      </w:pPr>
      <w:r>
        <w:rPr>
          <w:sz w:val="22"/>
          <w:u w:val="single"/>
        </w:rPr>
        <w:t>Conclusion</w:t>
      </w:r>
    </w:p>
    <w:p>
      <w:pPr>
        <w:pStyle w:val="Body"/>
        <w:spacing w:before="120" w:after="60"/>
        <w:ind w:start="90" w:end="0"/>
        <w:jc w:val="both"/>
        <w:rPr>
          <w:sz w:val="22"/>
        </w:rPr>
      </w:pPr>
      <w:r>
        <w:rPr>
          <w:sz w:val="22"/>
        </w:rPr>
        <w:t>Generally, we would characterize the individual risk as a small risk of a smaller problem if any one of the munis defaults, but a small risk of a larger problem if they were to act in concert to avoid the Agreement and simultaneously default.</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tabs>
        <w:tab w:val="clear" w:pos="4320"/>
        <w:tab w:val="clear" w:pos="8640"/>
        <w:tab w:val="left" w:pos="2970" w:leader="none"/>
        <w:tab w:val="left" w:pos="6300" w:leader="none"/>
        <w:tab w:val="right" w:pos="10800" w:leader="none"/>
      </w:tabs>
      <w:spacing w:before="0" w:after="60"/>
      <w:rPr>
        <w:b/>
        <w:sz w:val="16"/>
      </w:rPr>
    </w:pPr>
    <w:r>
      <w:rPr>
        <w:b/>
        <w:sz w:val="16"/>
      </w:rPr>
      <w:t>Respect</w:t>
      <w:tab/>
      <w:t>Integrity</w:t>
      <w:tab/>
      <w:t>Communication</w:t>
      <w:tab/>
      <w:t>Excellence</w:t>
    </w:r>
  </w:p>
  <w:p>
    <w:pPr>
      <w:pStyle w:val="Footer"/>
      <w:tabs>
        <w:tab w:val="clear" w:pos="4320"/>
        <w:tab w:val="clear" w:pos="8640"/>
        <w:tab w:val="left" w:pos="3780" w:leader="none"/>
        <w:tab w:val="center" w:pos="7560" w:leader="none"/>
        <w:tab w:val="right" w:pos="10800" w:leader="none"/>
      </w:tabs>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/mnt/main-storage/datasets/enron-docs/doc/Memo_re_Legal_Risks.DSF.doc</w:t>
    </w:r>
    <w:r>
      <w:rPr>
        <w:sz w:val="16"/>
        <w:rFonts w:cs="Arial Narrow" w:ascii="Arial Narrow" w:hAnsi="Arial Narrow"/>
      </w:rPr>
      <w:fldChar w:fldCharType="end"/>
    </w:r>
    <w:r>
      <w:rPr>
        <w:rFonts w:cs="Arial Narrow" w:ascii="Arial Narrow" w:hAnsi="Arial Narrow"/>
        <w:sz w:val="16"/>
      </w:rPr>
      <w:tab/>
      <w:tab/>
    </w:r>
    <w:r>
      <w:rPr>
        <w:rFonts w:cs="Arial Narrow" w:ascii="Arial Narrow" w:hAnsi="Arial Narrow"/>
        <w:sz w:val="16"/>
      </w:rPr>
      <w:fldChar w:fldCharType="begin"/>
    </w:r>
    <w:r>
      <w:rPr>
        <w:sz w:val="16"/>
        <w:rFonts w:cs="Arial Narrow" w:ascii="Arial Narrow" w:hAnsi="Arial Narrow"/>
      </w:rPr>
      <w:instrText xml:space="preserve"> DATE \@"MMMM\ d', 'yyyy" </w:instrText>
    </w:r>
    <w:r>
      <w:rPr>
        <w:sz w:val="16"/>
        <w:rFonts w:cs="Arial Narrow" w:ascii="Arial Narrow" w:hAnsi="Arial Narrow"/>
      </w:rPr>
      <w:fldChar w:fldCharType="separate"/>
    </w:r>
    <w:r>
      <w:rPr>
        <w:sz w:val="16"/>
        <w:rFonts w:cs="Arial Narrow" w:ascii="Arial Narrow" w:hAnsi="Arial Narrow"/>
      </w:rPr>
      <w:t>September 28, 2025</w:t>
    </w:r>
    <w:r>
      <w:rPr>
        <w:sz w:val="16"/>
        <w:rFonts w:cs="Arial Narrow" w:ascii="Arial Narrow" w:hAnsi="Arial Narrow"/>
      </w:rPr>
      <w:fldChar w:fldCharType="end"/>
    </w:r>
    <w:r>
      <w:rPr>
        <w:rFonts w:cs="Arial Narrow" w:ascii="Arial Narrow" w:hAnsi="Arial Narrow"/>
        <w:sz w:val="16"/>
      </w:rPr>
      <w:t xml:space="preserve">  </w:t>
    </w:r>
    <w:r>
      <w:rPr>
        <w:rFonts w:cs="Arial Narrow" w:ascii="Arial Narrow" w:hAnsi="Arial Narrow"/>
        <w:sz w:val="16"/>
      </w:rPr>
      <w:fldChar w:fldCharType="begin"/>
    </w:r>
    <w:r>
      <w:rPr>
        <w:sz w:val="16"/>
        <w:rFonts w:cs="Arial Narrow" w:ascii="Arial Narrow" w:hAnsi="Arial Narrow"/>
      </w:rPr>
      <w:instrText xml:space="preserve"> DATE \@"M/d/yyyy" </w:instrText>
    </w:r>
    <w:r>
      <w:rPr>
        <w:sz w:val="16"/>
        <w:rFonts w:cs="Arial Narrow" w:ascii="Arial Narrow" w:hAnsi="Arial Narrow"/>
      </w:rPr>
      <w:fldChar w:fldCharType="separate"/>
    </w:r>
    <w:r>
      <w:rPr>
        <w:sz w:val="16"/>
        <w:rFonts w:cs="Arial Narrow" w:ascii="Arial Narrow" w:hAnsi="Arial Narrow"/>
      </w:rPr>
      <w:t>9/28/2025</w:t>
    </w:r>
    <w:r>
      <w:rPr>
        <w:sz w:val="16"/>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tabs>
        <w:tab w:val="clear" w:pos="4320"/>
        <w:tab w:val="clear" w:pos="8640"/>
        <w:tab w:val="left" w:pos="2970" w:leader="none"/>
        <w:tab w:val="left" w:pos="6300" w:leader="none"/>
        <w:tab w:val="right" w:pos="10800" w:leader="none"/>
      </w:tabs>
      <w:spacing w:before="0" w:after="60"/>
      <w:rPr>
        <w:b/>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/mnt/main-storage/datasets/enron-docs/doc/Memo_re_Legal_Risks.DSF.doc</w:t>
    </w:r>
    <w:r>
      <w:rPr>
        <w:sz w:val="16"/>
        <w:rFonts w:cs="Arial Narrow" w:ascii="Arial Narrow" w:hAnsi="Arial Narrow"/>
      </w:rPr>
      <w:fldChar w:fldCharType="end"/>
    </w:r>
    <w:r>
      <w:rPr>
        <w:rFonts w:cs="Arial Narrow" w:ascii="Arial Narrow" w:hAnsi="Arial Narrow"/>
        <w:sz w:val="16"/>
      </w:rPr>
      <w:tab/>
      <w:tab/>
      <w:tab/>
    </w:r>
    <w:r>
      <w:rPr>
        <w:rFonts w:cs="Arial Narrow" w:ascii="Arial Narrow" w:hAnsi="Arial Narrow"/>
        <w:sz w:val="16"/>
      </w:rPr>
      <w:fldChar w:fldCharType="begin"/>
    </w:r>
    <w:r>
      <w:rPr>
        <w:sz w:val="16"/>
        <w:rFonts w:cs="Arial Narrow" w:ascii="Arial Narrow" w:hAnsi="Arial Narrow"/>
      </w:rPr>
      <w:instrText xml:space="preserve"> DATE \@"MMMM\ d', 'yyyy" </w:instrText>
    </w:r>
    <w:r>
      <w:rPr>
        <w:sz w:val="16"/>
        <w:rFonts w:cs="Arial Narrow" w:ascii="Arial Narrow" w:hAnsi="Arial Narrow"/>
      </w:rPr>
      <w:fldChar w:fldCharType="separate"/>
    </w:r>
    <w:r>
      <w:rPr>
        <w:sz w:val="16"/>
        <w:rFonts w:cs="Arial Narrow" w:ascii="Arial Narrow" w:hAnsi="Arial Narrow"/>
      </w:rPr>
      <w:t>September 28, 2025</w:t>
    </w:r>
    <w:r>
      <w:rPr>
        <w:sz w:val="16"/>
        <w:rFonts w:cs="Arial Narrow" w:ascii="Arial Narrow" w:hAnsi="Arial Narrow"/>
      </w:rPr>
      <w:fldChar w:fldCharType="end"/>
    </w:r>
    <w:r>
      <w:rPr>
        <w:rFonts w:cs="Arial Narrow" w:ascii="Arial Narrow" w:hAnsi="Arial Narrow"/>
        <w:sz w:val="16"/>
      </w:rPr>
      <w:t xml:space="preserve">  </w:t>
    </w:r>
    <w:r>
      <w:rPr>
        <w:rFonts w:cs="Arial Narrow" w:ascii="Arial Narrow" w:hAnsi="Arial Narrow"/>
        <w:sz w:val="16"/>
      </w:rPr>
      <w:fldChar w:fldCharType="begin"/>
    </w:r>
    <w:r>
      <w:rPr>
        <w:sz w:val="16"/>
        <w:rFonts w:cs="Arial Narrow" w:ascii="Arial Narrow" w:hAnsi="Arial Narrow"/>
      </w:rPr>
      <w:instrText xml:space="preserve"> DATE \@"M/d/yyyy" </w:instrText>
    </w:r>
    <w:r>
      <w:rPr>
        <w:sz w:val="16"/>
        <w:rFonts w:cs="Arial Narrow" w:ascii="Arial Narrow" w:hAnsi="Arial Narrow"/>
      </w:rPr>
      <w:fldChar w:fldCharType="separate"/>
    </w:r>
    <w:r>
      <w:rPr>
        <w:sz w:val="16"/>
        <w:rFonts w:cs="Arial Narrow" w:ascii="Arial Narrow" w:hAnsi="Arial Narrow"/>
      </w:rPr>
      <w:t>9/28/2025</w:t>
    </w:r>
    <w:r>
      <w:rPr>
        <w:sz w:val="16"/>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ab/>
    </w:r>
  </w:p>
  <w:p>
    <w:pPr>
      <w:pStyle w:val="Header"/>
      <w:rPr>
        <w:sz w:val="22"/>
      </w:rPr>
    </w:pPr>
    <w:r>
      <w:rPr>
        <w:sz w:val="22"/>
      </w:rPr>
      <w:fldChar w:fldCharType="begin"/>
    </w:r>
    <w:r>
      <w:rPr>
        <w:sz w:val="22"/>
      </w:rPr>
      <w:instrText xml:space="preserve"> DATE \@"M/d/yyyy" </w:instrText>
    </w:r>
    <w:r>
      <w:rPr>
        <w:sz w:val="22"/>
      </w:rPr>
      <w:fldChar w:fldCharType="separate"/>
    </w:r>
    <w:r>
      <w:rPr>
        <w:sz w:val="22"/>
      </w:rPr>
      <w:t>9/28/2025</w:t>
    </w:r>
    <w:r>
      <w:rPr>
        <w:sz w:val="22"/>
      </w:rPr>
      <w:fldChar w:fldCharType="end"/>
    </w:r>
  </w:p>
  <w:p>
    <w:pPr>
      <w:pStyle w:val="Header"/>
      <w:rPr>
        <w:sz w:val="22"/>
      </w:rPr>
    </w:pPr>
    <w:r>
      <w:rPr>
        <w:sz w:val="22"/>
      </w:rPr>
      <w:t xml:space="preserve">Page </w:t>
    </w:r>
    <w:r>
      <w:rPr>
        <w:sz w:val="22"/>
      </w:rPr>
      <w:fldChar w:fldCharType="begin"/>
    </w:r>
    <w:r>
      <w:rPr>
        <w:sz w:val="22"/>
      </w:rPr>
      <w:instrText xml:space="preserve"> PAGE </w:instrText>
    </w:r>
    <w:r>
      <w:rPr>
        <w:sz w:val="22"/>
      </w:rPr>
      <w:fldChar w:fldCharType="separate"/>
    </w:r>
    <w:r>
      <w:rPr>
        <w:sz w:val="22"/>
      </w:rPr>
      <w:t>3</w:t>
    </w:r>
    <w:r>
      <w:rPr>
        <w:sz w:val="22"/>
      </w:rPr>
      <w:fldChar w:fldCharType="end"/>
    </w:r>
  </w:p>
  <w:p>
    <w:pPr>
      <w:pStyle w:val="Header"/>
      <w:rPr>
        <w:sz w:val="22"/>
      </w:rPr>
    </w:pPr>
    <w:r>
      <w:rPr>
        <w:sz w:val="22"/>
      </w:rPr>
    </w:r>
  </w:p>
  <w:p>
    <w:pPr>
      <w:pStyle w:val="Header"/>
      <w:pBdr>
        <w:top w:val="single" w:sz="4" w:space="1" w:color="000000"/>
      </w:pBdr>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630"/>
      </w:pPr>
      <w:rPr/>
    </w:lvl>
  </w:abstractNum>
  <w:abstractNum w:abstractNumId="3">
    <w:lvl w:ilvl="0">
      <w:start w:val="1"/>
      <w:numFmt w:val="decimal"/>
      <w:lvlText w:val="%1."/>
      <w:lvlJc w:val="start"/>
      <w:pPr>
        <w:tabs>
          <w:tab w:val="num" w:pos="720"/>
        </w:tabs>
        <w:ind w:start="720" w:hanging="630"/>
      </w:pPr>
      <w:rPr/>
    </w:lvl>
    <w:lvl w:ilvl="1">
      <w:start w:val="1"/>
      <w:numFmt w:val="lowerLetter"/>
      <w:lvlText w:val="(%2)"/>
      <w:lvlJc w:val="start"/>
      <w:pPr>
        <w:tabs>
          <w:tab w:val="num" w:pos="1530"/>
        </w:tabs>
        <w:ind w:start="1530" w:hanging="720"/>
      </w:pPr>
      <w:rPr/>
    </w:lvl>
    <w:lvl w:ilvl="2">
      <w:start w:val="1"/>
      <w:numFmt w:val="lowerRoman"/>
      <w:lvlText w:val="%3."/>
      <w:lvlJc w:val="end"/>
      <w:pPr>
        <w:tabs>
          <w:tab w:val="num" w:pos="1890"/>
        </w:tabs>
        <w:ind w:start="1890" w:hanging="180"/>
      </w:pPr>
    </w:lvl>
    <w:lvl w:ilvl="3">
      <w:start w:val="1"/>
      <w:numFmt w:val="decimal"/>
      <w:lvlText w:val="%4."/>
      <w:lvlJc w:val="start"/>
      <w:pPr>
        <w:tabs>
          <w:tab w:val="num" w:pos="2610"/>
        </w:tabs>
        <w:ind w:start="2610" w:hanging="360"/>
      </w:pPr>
    </w:lvl>
    <w:lvl w:ilvl="4">
      <w:start w:val="1"/>
      <w:numFmt w:val="lowerLetter"/>
      <w:lvlText w:val="%5."/>
      <w:lvlJc w:val="start"/>
      <w:pPr>
        <w:tabs>
          <w:tab w:val="num" w:pos="3330"/>
        </w:tabs>
        <w:ind w:start="3330" w:hanging="360"/>
      </w:pPr>
    </w:lvl>
    <w:lvl w:ilvl="5">
      <w:start w:val="1"/>
      <w:numFmt w:val="lowerRoman"/>
      <w:lvlText w:val="%6."/>
      <w:lvlJc w:val="end"/>
      <w:pPr>
        <w:tabs>
          <w:tab w:val="num" w:pos="4050"/>
        </w:tabs>
        <w:ind w:start="4050" w:hanging="180"/>
      </w:pPr>
    </w:lvl>
    <w:lvl w:ilvl="6">
      <w:start w:val="1"/>
      <w:numFmt w:val="decimal"/>
      <w:lvlText w:val="%7."/>
      <w:lvlJc w:val="start"/>
      <w:pPr>
        <w:tabs>
          <w:tab w:val="num" w:pos="4770"/>
        </w:tabs>
        <w:ind w:start="4770" w:hanging="360"/>
      </w:pPr>
    </w:lvl>
    <w:lvl w:ilvl="7">
      <w:start w:val="1"/>
      <w:numFmt w:val="lowerLetter"/>
      <w:lvlText w:val="%8."/>
      <w:lvlJc w:val="start"/>
      <w:pPr>
        <w:tabs>
          <w:tab w:val="num" w:pos="5490"/>
        </w:tabs>
        <w:ind w:start="5490" w:hanging="360"/>
      </w:pPr>
    </w:lvl>
    <w:lvl w:ilvl="8">
      <w:start w:val="1"/>
      <w:numFmt w:val="lowerRoman"/>
      <w:lvlText w:val="%9."/>
      <w:lvlJc w:val="end"/>
      <w:pPr>
        <w:tabs>
          <w:tab w:val="num" w:pos="6210"/>
        </w:tabs>
        <w:ind w:start="6210"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spacing w:lineRule="atLeast" w:line="240"/>
      <w:ind w:hanging="0" w:start="72" w:end="0"/>
      <w:jc w:val="both"/>
    </w:pPr>
    <w:rPr>
      <w:color w:val="000000"/>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80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2001-10-01T12:54:00Z</dcterms:created>
  <dc:creator>ncappel</dc:creator>
  <dc:description/>
  <dc:language>en-CA</dc:language>
  <cp:lastModifiedBy>sbutt2</cp:lastModifiedBy>
  <cp:lastPrinted>2001-10-01T13:42:00Z</cp:lastPrinted>
  <dcterms:modified xsi:type="dcterms:W3CDTF">2001-10-01T17:13:00Z</dcterms:modified>
  <cp:revision>12</cp:revision>
  <dc:subject/>
  <dc:title>Eron Capital &amp; Trade Resources Memo</dc:title>
</cp:coreProperties>
</file>