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wmf" ContentType="image/x-wmf"/>
  <Override PartName="/word/media/image3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3657600</wp:posOffset>
                </wp:positionH>
                <wp:positionV relativeFrom="paragraph">
                  <wp:posOffset>-182880</wp:posOffset>
                </wp:positionV>
                <wp:extent cx="2834640" cy="457200"/>
                <wp:effectExtent l="0" t="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4572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end"/>
                              <w:rPr>
                                <w:b/>
                                <w:i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EES Internal Memorandum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23.2pt;height:36pt;mso-wrap-distance-left:9.05pt;mso-wrap-distance-right:9.05pt;mso-wrap-distance-top:0pt;mso-wrap-distance-bottom:0pt;margin-top:-14.4pt;mso-position-vertical-relative:text;margin-left:288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end"/>
                        <w:rPr>
                          <w:b/>
                          <w:i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EES Internal Memorandum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4389120</wp:posOffset>
                </wp:positionH>
                <wp:positionV relativeFrom="paragraph">
                  <wp:posOffset>182880</wp:posOffset>
                </wp:positionV>
                <wp:extent cx="1920240" cy="365760"/>
                <wp:effectExtent l="0" t="0" r="0" b="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3657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end"/>
                              <w:rPr>
                                <w:b/>
                                <w:i/>
                                <w:i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28"/>
                              </w:rPr>
                              <w:t>--CONFIDENTIAL--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51.2pt;height:28.8pt;mso-wrap-distance-left:9.05pt;mso-wrap-distance-right:9.05pt;mso-wrap-distance-top:0pt;mso-wrap-distance-bottom:0pt;margin-top:14.4pt;mso-position-vertical-relative:text;margin-left:345.6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end"/>
                        <w:rPr>
                          <w:b/>
                          <w:i/>
                          <w:i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i/>
                          <w:color w:val="FF0000"/>
                          <w:sz w:val="28"/>
                        </w:rPr>
                        <w:t>--CONFIDENTIAL--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ab/>
        <w:t>Scott Gahn, Jeremy Blachman, Jim Wood, Andy Wu, Harry Kingerski, Greg Sharp</w:t>
      </w:r>
    </w:p>
    <w:p>
      <w:pPr>
        <w:pStyle w:val="Normal"/>
        <w:ind w:firstLine="720" w:start="720" w:end="0"/>
        <w:rPr/>
      </w:pPr>
      <w:r>
        <w:rPr/>
        <w:t>Mike Smith, Lamar Frazier, Peggy Mahoney, Vicki Sharp, Marty Sunde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ab/>
        <w:t>Marcus Dotson</w:t>
      </w:r>
    </w:p>
    <w:p>
      <w:pPr>
        <w:pStyle w:val="Normal"/>
        <w:ind w:firstLine="720" w:start="720" w:end="0"/>
        <w:rPr/>
      </w:pPr>
      <w:r>
        <w:rPr/>
        <w:t>Ed Hamb</w:t>
      </w:r>
    </w:p>
    <w:p>
      <w:pPr>
        <w:pStyle w:val="Normal"/>
        <w:ind w:firstLine="720" w:start="720" w:end="0"/>
        <w:rPr/>
      </w:pPr>
      <w:r>
        <w:rPr/>
        <w:t>Jennifer Rudolph</w:t>
        <w:tab/>
        <w:tab/>
        <w:tab/>
        <w:t xml:space="preserve">  Department:</w:t>
        <w:tab/>
        <w:t>Product Management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-274320</wp:posOffset>
                </wp:positionH>
                <wp:positionV relativeFrom="paragraph">
                  <wp:posOffset>401955</wp:posOffset>
                </wp:positionV>
                <wp:extent cx="6583680" cy="0"/>
                <wp:effectExtent l="0" t="14605" r="0" b="14605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1.6pt,31.65pt" to="496.75pt,31.65pt" stroked="t" o:allowincell="f" style="position:absolute">
                <v:stroke color="black" weight="28440" joinstyle="miter" endcap="flat"/>
                <v:fill o:detectmouseclick="t" on="false"/>
                <w10:wrap type="none"/>
              </v:line>
            </w:pict>
          </mc:Fallback>
        </mc:AlternateContent>
      </w:r>
      <w:r>
        <w:rPr/>
        <w:t>Subject:</w:t>
        <w:tab/>
        <w:t>Re-entering California Market</w:t>
        <w:tab/>
        <w:tab/>
        <w:tab/>
        <w:t>Date:</w:t>
        <w:tab/>
        <w:t>Monday, June 11,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rPr>
          <w:b/>
        </w:rPr>
      </w:pPr>
      <w:r>
        <w:rPr>
          <w:b/>
        </w:rPr>
        <w:t>Product</w:t>
      </w:r>
    </w:p>
    <w:p>
      <w:pPr>
        <w:pStyle w:val="Normal"/>
        <w:numPr>
          <w:ilvl w:val="0"/>
          <w:numId w:val="5"/>
        </w:numPr>
        <w:spacing w:lineRule="atLeast" w:line="240"/>
        <w:rPr>
          <w:rFonts w:ascii="Helv" w:hAnsi="Helv" w:cs="Helv"/>
          <w:color w:val="000000"/>
          <w:lang w:eastAsia="en-US"/>
        </w:rPr>
      </w:pPr>
      <w:r>
        <w:rPr/>
        <w:t>Fixed price retail generation product - $/MWh price that includes commodity costs, load shaping costs, losses to ISO delivery point, and ancillary services costs</w:t>
      </w:r>
    </w:p>
    <w:p>
      <w:pPr>
        <w:pStyle w:val="Normal"/>
        <w:numPr>
          <w:ilvl w:val="0"/>
          <w:numId w:val="7"/>
        </w:numPr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T&amp;D and other UDC related costs are passed through to customer</w:t>
      </w:r>
    </w:p>
    <w:p>
      <w:pPr>
        <w:pStyle w:val="Normal"/>
        <w:numPr>
          <w:ilvl w:val="0"/>
          <w:numId w:val="7"/>
        </w:numPr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Any other utility surcharges are also passed through to customer (</w:t>
      </w:r>
      <w:r>
        <w:rPr>
          <w:rFonts w:cs="Helv" w:ascii="Helv" w:hAnsi="Helv"/>
          <w:b/>
          <w:color w:val="000000"/>
          <w:lang w:eastAsia="en-US"/>
        </w:rPr>
        <w:t>see IV. (5)</w:t>
      </w:r>
      <w:r>
        <w:rPr>
          <w:rFonts w:cs="Helv" w:ascii="Helv" w:hAnsi="Helv"/>
          <w:color w:val="000000"/>
          <w:lang w:eastAsia="en-US"/>
        </w:rPr>
        <w:t>)</w:t>
      </w:r>
    </w:p>
    <w:p>
      <w:pPr>
        <w:pStyle w:val="Normal"/>
        <w:numPr>
          <w:ilvl w:val="0"/>
          <w:numId w:val="7"/>
        </w:numPr>
        <w:spacing w:lineRule="atLeast" w:line="240"/>
        <w:rPr>
          <w:b/>
        </w:rPr>
      </w:pPr>
      <w:r>
        <w:rPr>
          <w:rFonts w:cs="Helv" w:ascii="Helv" w:hAnsi="Helv"/>
          <w:color w:val="000000"/>
          <w:lang w:eastAsia="en-US"/>
        </w:rPr>
        <w:t xml:space="preserve">Liquidated Damages - In the event that physical delivery is no longer possible, the customer will pay us a termination fee based on the difference between the full contract amount and the cover charge amount </w:t>
      </w:r>
    </w:p>
    <w:p>
      <w:pPr>
        <w:pStyle w:val="Normal"/>
        <w:numPr>
          <w:ilvl w:val="0"/>
          <w:numId w:val="7"/>
        </w:numPr>
        <w:spacing w:lineRule="atLeast" w:line="240"/>
        <w:rPr>
          <w:b/>
        </w:rPr>
      </w:pPr>
      <w:r>
        <w:rPr/>
        <w:t>Switching Option (Financial) - customer pays for any fees related to the first switch only; Enron pays for any subsequent switching fees</w:t>
      </w:r>
    </w:p>
    <w:p>
      <w:pPr>
        <w:pStyle w:val="Normal"/>
        <w:numPr>
          <w:ilvl w:val="0"/>
          <w:numId w:val="8"/>
        </w:numPr>
        <w:rPr>
          <w:b/>
        </w:rPr>
      </w:pPr>
      <w:r>
        <w:rPr/>
        <w:t>This is a free option - if switching fees are less than the value created from the switch, then Enron can exercise this free option to find additional value (customer stays whole)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6"/>
        </w:numPr>
        <w:rPr>
          <w:b/>
        </w:rPr>
      </w:pPr>
      <w:r>
        <w:rPr>
          <w:b/>
        </w:rPr>
        <w:t>Contract</w:t>
      </w:r>
    </w:p>
    <w:p>
      <w:pPr>
        <w:pStyle w:val="Normal"/>
        <w:numPr>
          <w:ilvl w:val="0"/>
          <w:numId w:val="2"/>
        </w:numPr>
        <w:rPr>
          <w:b/>
        </w:rPr>
      </w:pPr>
      <w:r>
        <w:rPr/>
        <w:t>Currently being used for Home Depot, Sysco and Pepsi</w:t>
      </w:r>
    </w:p>
    <w:p>
      <w:pPr>
        <w:pStyle w:val="Normal"/>
        <w:numPr>
          <w:ilvl w:val="0"/>
          <w:numId w:val="2"/>
        </w:numPr>
        <w:rPr>
          <w:b/>
        </w:rPr>
      </w:pPr>
      <w:r>
        <w:rPr/>
        <w:t>Legal can write a contract covering known risks to date, but enforcement and recovery may not be achievable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6"/>
        </w:numPr>
        <w:rPr>
          <w:b/>
        </w:rPr>
      </w:pPr>
      <w:r>
        <w:rPr>
          <w:b/>
        </w:rPr>
        <w:t>Our Pitch</w:t>
      </w:r>
    </w:p>
    <w:p>
      <w:pPr>
        <w:pStyle w:val="Normal"/>
        <w:numPr>
          <w:ilvl w:val="0"/>
          <w:numId w:val="7"/>
        </w:numPr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Enables customer control - customer receives a discount to UDC generation component</w:t>
      </w:r>
    </w:p>
    <w:p>
      <w:pPr>
        <w:pStyle w:val="Normal"/>
        <w:numPr>
          <w:ilvl w:val="0"/>
          <w:numId w:val="7"/>
        </w:numPr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Even though costs/fees are being passed to the customer, the customer is still paying less with Enron than they would with the UDC rate plus costs/fees</w:t>
      </w:r>
    </w:p>
    <w:p>
      <w:pPr>
        <w:pStyle w:val="Normal"/>
        <w:numPr>
          <w:ilvl w:val="0"/>
          <w:numId w:val="7"/>
        </w:numPr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Value - Our 5 year swap is roughly $30/MWh lower than E19 &amp; E20 UDC generation component</w:t>
      </w:r>
    </w:p>
    <w:p>
      <w:pPr>
        <w:pStyle w:val="Normal"/>
        <w:numPr>
          <w:ilvl w:val="0"/>
          <w:numId w:val="7"/>
        </w:numPr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Exiting bundled rates now increases the chance of avoiding surcharges ($25 to $50/MWh currently depending upon the rate class)</w:t>
      </w:r>
    </w:p>
    <w:p>
      <w:pPr>
        <w:pStyle w:val="Normal"/>
        <w:numPr>
          <w:ilvl w:val="0"/>
          <w:numId w:val="7"/>
        </w:numPr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Buying power now locks in the current power price and provides insurance against increasing energy costs</w:t>
      </w:r>
    </w:p>
    <w:p>
      <w:pPr>
        <w:pStyle w:val="Normal"/>
        <w:ind w:start="72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numPr>
          <w:ilvl w:val="0"/>
          <w:numId w:val="6"/>
        </w:numPr>
        <w:rPr>
          <w:b/>
        </w:rPr>
      </w:pPr>
      <w:r>
        <w:rPr>
          <w:b/>
        </w:rPr>
        <w:t>Risks that Customer Needs to Know</w:t>
      </w:r>
    </w:p>
    <w:p>
      <w:pPr>
        <w:pStyle w:val="Normal"/>
        <w:numPr>
          <w:ilvl w:val="0"/>
          <w:numId w:val="9"/>
        </w:numPr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PG&amp;E and SCE have debts that are greater than their assets.  In the event that the CPUC allows recovery of such costs, the customer would be responsible for such charges.</w:t>
      </w:r>
    </w:p>
    <w:p>
      <w:pPr>
        <w:pStyle w:val="Normal"/>
        <w:spacing w:lineRule="atLeast" w:line="240"/>
        <w:ind w:start="72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numPr>
          <w:ilvl w:val="0"/>
          <w:numId w:val="9"/>
        </w:numPr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The ISO has incurred significant debts in the past when the DWR does not purchase the net CA short.  The customer will be at risk for such charges.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numPr>
          <w:ilvl w:val="0"/>
          <w:numId w:val="9"/>
        </w:numPr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Known Surcharges - $10/MWh Jan 4, 20001 surcharge applies to them - the CPUC determined that all customers, including DA customers, should pay this surcharge.  The customer would be responsible for such surcharge whether it decreases or increases</w:t>
      </w:r>
    </w:p>
    <w:p>
      <w:pPr>
        <w:pStyle w:val="Normal"/>
        <w:spacing w:lineRule="atLeast" w:line="240"/>
        <w:ind w:start="72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numPr>
          <w:ilvl w:val="0"/>
          <w:numId w:val="9"/>
        </w:numPr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Possible Surcharges - Any subsequent surcharges are the responsibility of the customer</w:t>
      </w:r>
    </w:p>
    <w:p>
      <w:pPr>
        <w:pStyle w:val="Normal"/>
        <w:spacing w:lineRule="atLeast" w:line="240"/>
        <w:ind w:start="144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-for Utilities' undercollections during 2000</w:t>
      </w:r>
    </w:p>
    <w:p>
      <w:pPr>
        <w:pStyle w:val="Normal"/>
        <w:spacing w:lineRule="atLeast" w:line="240"/>
        <w:ind w:start="144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-for historical DWR costs from Jan 2001 - June 2001</w:t>
      </w:r>
    </w:p>
    <w:p>
      <w:pPr>
        <w:pStyle w:val="Normal"/>
        <w:spacing w:lineRule="atLeast" w:line="240"/>
        <w:ind w:start="144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-for future DWR costs after June 2001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numPr>
          <w:ilvl w:val="0"/>
          <w:numId w:val="9"/>
        </w:numPr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CPUC decisions - the customer would be responsible for any charges levied by the California regulators</w:t>
      </w:r>
    </w:p>
    <w:p>
      <w:pPr>
        <w:pStyle w:val="Normal"/>
        <w:spacing w:lineRule="atLeast" w:line="240"/>
        <w:ind w:firstLine="720" w:start="72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-Incremental wholesale capacity charges (ICAP)</w:t>
      </w:r>
    </w:p>
    <w:p>
      <w:pPr>
        <w:pStyle w:val="Normal"/>
        <w:spacing w:lineRule="atLeast" w:line="240"/>
        <w:ind w:firstLine="720" w:start="72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-Tax increases or decreases</w:t>
      </w:r>
    </w:p>
    <w:p>
      <w:pPr>
        <w:pStyle w:val="Normal"/>
        <w:spacing w:lineRule="atLeast" w:line="240"/>
        <w:ind w:firstLine="720" w:start="72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-Changes to Transmission, Distribution and UDC related charges</w:t>
      </w:r>
    </w:p>
    <w:p>
      <w:pPr>
        <w:pStyle w:val="Normal"/>
        <w:ind w:start="144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-Reversal of March 27 decision to not include DA customers in the rate increases (3 cent rate increase);  if CPUC changes its mind, then, our customer would be responsible for that cost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rPr>
          <w:b/>
        </w:rPr>
      </w:pPr>
      <w:r>
        <w:rPr>
          <w:b/>
        </w:rPr>
        <w:t>Target List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i/>
          <w:i/>
        </w:rPr>
      </w:pPr>
      <w:r>
        <w:rPr>
          <w:i/>
        </w:rPr>
        <w:t>PG&amp;E</w:t>
      </w:r>
    </w:p>
    <w:p>
      <w:pPr>
        <w:pStyle w:val="Normal"/>
        <w:numPr>
          <w:ilvl w:val="0"/>
          <w:numId w:val="7"/>
        </w:numPr>
        <w:rPr/>
      </w:pPr>
      <w:r>
        <w:rPr/>
        <w:t xml:space="preserve">E-20T customers have a 71.18% increase </w:t>
      </w:r>
    </w:p>
    <w:p>
      <w:pPr>
        <w:pStyle w:val="Normal"/>
        <w:numPr>
          <w:ilvl w:val="0"/>
          <w:numId w:val="7"/>
        </w:numPr>
        <w:rPr>
          <w:i/>
          <w:i/>
        </w:rPr>
      </w:pPr>
      <w:r>
        <w:rPr/>
        <w:t>E-20P customers have a 52.06% increase</w:t>
      </w:r>
    </w:p>
    <w:p>
      <w:pPr>
        <w:pStyle w:val="Normal"/>
        <w:numPr>
          <w:ilvl w:val="0"/>
          <w:numId w:val="7"/>
        </w:numPr>
        <w:rPr>
          <w:i/>
          <w:i/>
        </w:rPr>
      </w:pPr>
      <w:r>
        <w:rPr/>
        <w:t>E-20S customers have a 43.85% increase</w:t>
      </w:r>
    </w:p>
    <w:p>
      <w:pPr>
        <w:pStyle w:val="Normal"/>
        <w:numPr>
          <w:ilvl w:val="0"/>
          <w:numId w:val="7"/>
        </w:numPr>
        <w:rPr>
          <w:i/>
          <w:i/>
        </w:rPr>
      </w:pPr>
      <w:r>
        <w:rPr/>
        <w:t xml:space="preserve">E-19 customers have a 41.35% increase </w:t>
      </w:r>
    </w:p>
    <w:p>
      <w:pPr>
        <w:pStyle w:val="Normal"/>
        <w:numPr>
          <w:ilvl w:val="0"/>
          <w:numId w:val="7"/>
        </w:numPr>
        <w:rPr>
          <w:i/>
          <w:i/>
        </w:rPr>
      </w:pPr>
      <w:r>
        <w:rPr/>
        <w:t>Med Commercial customers have a 41.19% increase</w:t>
      </w:r>
    </w:p>
    <w:p>
      <w:pPr>
        <w:pStyle w:val="Normal"/>
        <w:rPr/>
      </w:pPr>
      <w:r>
        <w:rPr/>
        <w:t>-obtaining actual customer names for these rate classes is not realistic</w:t>
      </w:r>
    </w:p>
    <w:p>
      <w:pPr>
        <w:pStyle w:val="Normal"/>
        <w:rPr/>
      </w:pPr>
      <w:r>
        <w:rPr/>
        <w:t>-knowing that the rate classes listed above are for industrial and heavy commercial users, we can make assumptions based on the following Target List breakdown</w:t>
      </w:r>
    </w:p>
    <w:p>
      <w:pPr>
        <w:pStyle w:val="Normal"/>
        <w:rPr/>
      </w:pPr>
      <w:r>
        <w:rPr/>
      </w:r>
    </w:p>
    <w:tbl>
      <w:tblPr>
        <w:tblW w:w="95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1562"/>
        <w:gridCol w:w="1915"/>
        <w:gridCol w:w="1915"/>
        <w:gridCol w:w="1915"/>
      </w:tblGrid>
      <w:tr>
        <w:trPr>
          <w:trHeight w:val="260" w:hRule="atLeast"/>
        </w:trPr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Over $10MM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$5MM - $10MM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Below $5MM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Restaurant</w:t>
            </w:r>
          </w:p>
        </w:tc>
        <w:tc>
          <w:tcPr>
            <w:tcW w:w="1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Office</w:t>
            </w:r>
          </w:p>
        </w:tc>
        <w:tc>
          <w:tcPr>
            <w:tcW w:w="1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295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306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Retail</w:t>
            </w:r>
          </w:p>
        </w:tc>
        <w:tc>
          <w:tcPr>
            <w:tcW w:w="1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84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Grocery</w:t>
            </w:r>
          </w:p>
        </w:tc>
        <w:tc>
          <w:tcPr>
            <w:tcW w:w="1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142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157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Hospital</w:t>
            </w:r>
          </w:p>
        </w:tc>
        <w:tc>
          <w:tcPr>
            <w:tcW w:w="1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148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161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Nursing Home</w:t>
            </w:r>
          </w:p>
        </w:tc>
        <w:tc>
          <w:tcPr>
            <w:tcW w:w="1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103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Hotel</w:t>
            </w:r>
          </w:p>
        </w:tc>
        <w:tc>
          <w:tcPr>
            <w:tcW w:w="1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111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School</w:t>
            </w:r>
          </w:p>
        </w:tc>
        <w:tc>
          <w:tcPr>
            <w:tcW w:w="1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Elec Manufacturing</w:t>
            </w:r>
          </w:p>
        </w:tc>
        <w:tc>
          <w:tcPr>
            <w:tcW w:w="1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35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33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333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401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Misc Manufacturing</w:t>
            </w:r>
          </w:p>
        </w:tc>
        <w:tc>
          <w:tcPr>
            <w:tcW w:w="1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33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41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544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618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1880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2079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PowerDat for PG&amp;E (1999 data)</w:t>
      </w:r>
    </w:p>
    <w:p>
      <w:pPr>
        <w:pStyle w:val="Normal"/>
        <w:rPr/>
      </w:pPr>
      <w:r>
        <w:rPr/>
        <w:t xml:space="preserve">E-20 rate class had 1,044 customers </w:t>
      </w:r>
    </w:p>
    <w:p>
      <w:pPr>
        <w:pStyle w:val="Normal"/>
        <w:rPr/>
      </w:pPr>
      <w:r>
        <w:rPr/>
        <w:t>E-19 rate class had 10,766 customers</w:t>
      </w:r>
    </w:p>
    <w:p>
      <w:pPr>
        <w:pStyle w:val="Normal"/>
        <w:rPr/>
      </w:pPr>
      <w:r>
        <w:rPr/>
        <w:t>Med Commercial rate class was not located in PowerDat</w:t>
      </w:r>
      <w:r>
        <w:br w:type="page"/>
      </w:r>
    </w:p>
    <w:p>
      <w:pPr>
        <w:pStyle w:val="Normal"/>
        <w:rPr>
          <w:i/>
          <w:i/>
        </w:rPr>
      </w:pPr>
      <w:r>
        <w:rPr>
          <w:i/>
        </w:rPr>
        <w:t>SCE</w:t>
      </w:r>
    </w:p>
    <w:p>
      <w:pPr>
        <w:pStyle w:val="Normal"/>
        <w:numPr>
          <w:ilvl w:val="0"/>
          <w:numId w:val="4"/>
        </w:numPr>
        <w:rPr/>
      </w:pPr>
      <w:r>
        <w:rPr/>
        <w:t>TOU-8-SUB customers have a 63.54% increase in their generation rates</w:t>
      </w:r>
    </w:p>
    <w:p>
      <w:pPr>
        <w:pStyle w:val="Normal"/>
        <w:numPr>
          <w:ilvl w:val="0"/>
          <w:numId w:val="4"/>
        </w:numPr>
        <w:rPr/>
      </w:pPr>
      <w:r>
        <w:rPr/>
        <w:t>TOU-8-PRI customers have a 46.33% increase</w:t>
      </w:r>
    </w:p>
    <w:p>
      <w:pPr>
        <w:pStyle w:val="Normal"/>
        <w:numPr>
          <w:ilvl w:val="0"/>
          <w:numId w:val="4"/>
        </w:numPr>
        <w:rPr/>
      </w:pPr>
      <w:r>
        <w:rPr/>
        <w:t>TOU-8-SEC customers have a 42.54% increase</w:t>
      </w:r>
    </w:p>
    <w:p>
      <w:pPr>
        <w:pStyle w:val="Normal"/>
        <w:rPr/>
      </w:pPr>
      <w:r>
        <w:rPr/>
        <w:t>-obtaining actual customer names for these rate classes is not realistic</w:t>
      </w:r>
    </w:p>
    <w:p>
      <w:pPr>
        <w:pStyle w:val="Normal"/>
        <w:rPr/>
      </w:pPr>
      <w:r>
        <w:rPr/>
        <w:t>-knowing that the rate classes listed above are for industrial and heavy commercial users, we can make assumptions based on the following Target List breakdown</w:t>
      </w:r>
    </w:p>
    <w:p>
      <w:pPr>
        <w:pStyle w:val="Normal"/>
        <w:rPr/>
      </w:pPr>
      <w:r>
        <w:rPr/>
      </w:r>
    </w:p>
    <w:tbl>
      <w:tblPr>
        <w:tblW w:w="95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1562"/>
        <w:gridCol w:w="1915"/>
        <w:gridCol w:w="1915"/>
        <w:gridCol w:w="1915"/>
      </w:tblGrid>
      <w:tr>
        <w:trPr>
          <w:trHeight w:val="260" w:hRule="atLeast"/>
        </w:trPr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Over $10MM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$5MM - $10MM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Below $5MM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Restaurant</w:t>
            </w:r>
          </w:p>
        </w:tc>
        <w:tc>
          <w:tcPr>
            <w:tcW w:w="1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33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Office</w:t>
            </w:r>
          </w:p>
        </w:tc>
        <w:tc>
          <w:tcPr>
            <w:tcW w:w="1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15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379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402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Retail</w:t>
            </w:r>
          </w:p>
        </w:tc>
        <w:tc>
          <w:tcPr>
            <w:tcW w:w="1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108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121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Grocery</w:t>
            </w:r>
          </w:p>
        </w:tc>
        <w:tc>
          <w:tcPr>
            <w:tcW w:w="1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15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Hospital</w:t>
            </w:r>
          </w:p>
        </w:tc>
        <w:tc>
          <w:tcPr>
            <w:tcW w:w="1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124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137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Nursing Home</w:t>
            </w:r>
          </w:p>
        </w:tc>
        <w:tc>
          <w:tcPr>
            <w:tcW w:w="1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165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165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Hotel</w:t>
            </w:r>
          </w:p>
        </w:tc>
        <w:tc>
          <w:tcPr>
            <w:tcW w:w="1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75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School</w:t>
            </w:r>
          </w:p>
        </w:tc>
        <w:tc>
          <w:tcPr>
            <w:tcW w:w="1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54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Elec Manufacturing</w:t>
            </w:r>
          </w:p>
        </w:tc>
        <w:tc>
          <w:tcPr>
            <w:tcW w:w="1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195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210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Misc Manufacturing</w:t>
            </w:r>
          </w:p>
        </w:tc>
        <w:tc>
          <w:tcPr>
            <w:tcW w:w="1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44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42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1028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1114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2176</w:t>
            </w:r>
          </w:p>
        </w:tc>
        <w:tc>
          <w:tcPr>
            <w:tcW w:w="1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2333*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PowerDat for SCE (1998 data)</w:t>
      </w:r>
    </w:p>
    <w:p>
      <w:pPr>
        <w:pStyle w:val="Normal"/>
        <w:rPr/>
      </w:pPr>
      <w:r>
        <w:rPr/>
        <w:t xml:space="preserve">TOU-8-T rate class had 99 customers </w:t>
      </w:r>
    </w:p>
    <w:p>
      <w:pPr>
        <w:pStyle w:val="Normal"/>
        <w:rPr/>
      </w:pPr>
      <w:r>
        <w:rPr/>
        <w:t>TOU-8-P rate class had 243 customers</w:t>
      </w:r>
    </w:p>
    <w:p>
      <w:pPr>
        <w:pStyle w:val="Normal"/>
        <w:rPr/>
      </w:pPr>
      <w:r>
        <w:rPr/>
        <w:t>TOU-8-S rate class had 1,106 customers</w:t>
      </w:r>
    </w:p>
    <w:p>
      <w:pPr>
        <w:pStyle w:val="Normal"/>
        <w:rPr/>
      </w:pPr>
      <w:r>
        <w:rPr/>
        <w:t>*  our Target List seems to be pulling names that are associated with other rate schedules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drawing>
          <wp:anchor behindDoc="0" distT="0" distB="0" distL="114935" distR="114935" simplePos="0" locked="0" layoutInCell="0" allowOverlap="1" relativeHeight="6">
            <wp:simplePos x="0" y="0"/>
            <wp:positionH relativeFrom="column">
              <wp:posOffset>1188720</wp:posOffset>
            </wp:positionH>
            <wp:positionV relativeFrom="paragraph">
              <wp:posOffset>171450</wp:posOffset>
            </wp:positionV>
            <wp:extent cx="3384550" cy="1527175"/>
            <wp:effectExtent l="0" t="0" r="0" b="0"/>
            <wp:wrapTopAndBottom/>
            <wp:docPr id="5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1" t="-24" r="-11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152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Pricing Matrix  -</w:t>
      </w:r>
      <w:r>
        <w:rPr/>
        <w:t>prices based on 5/31/01</w:t>
      </w:r>
    </w:p>
    <w:p>
      <w:pPr>
        <w:pStyle w:val="Normal"/>
        <w:ind w:start="2880" w:end="0"/>
        <w:jc w:val="center"/>
        <w:rPr/>
      </w:pPr>
      <w:r>
        <w:rPr/>
        <w:drawing>
          <wp:anchor behindDoc="0" distT="0" distB="0" distL="114935" distR="114935" simplePos="0" locked="0" layoutInCell="0" allowOverlap="1" relativeHeight="7">
            <wp:simplePos x="0" y="0"/>
            <wp:positionH relativeFrom="column">
              <wp:posOffset>1188720</wp:posOffset>
            </wp:positionH>
            <wp:positionV relativeFrom="paragraph">
              <wp:posOffset>1671320</wp:posOffset>
            </wp:positionV>
            <wp:extent cx="3384550" cy="1240790"/>
            <wp:effectExtent l="0" t="0" r="0" b="0"/>
            <wp:wrapTopAndBottom/>
            <wp:docPr id="6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1" t="-29" r="-11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1240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start="2880" w:end="0"/>
        <w:jc w:val="center"/>
        <w:rPr/>
      </w:pPr>
      <w:r>
        <w:rPr/>
      </w:r>
    </w:p>
    <w:p>
      <w:pPr>
        <w:pStyle w:val="Normal"/>
        <w:ind w:start="2880" w:end="0"/>
        <w:jc w:val="center"/>
        <w:rPr/>
      </w:pPr>
      <w:r>
        <w:rPr/>
      </w:r>
    </w:p>
    <w:p>
      <w:pPr>
        <w:pStyle w:val="Normal"/>
        <w:numPr>
          <w:ilvl w:val="0"/>
          <w:numId w:val="6"/>
        </w:numPr>
        <w:rPr>
          <w:b/>
        </w:rPr>
      </w:pPr>
      <w:r>
        <w:rPr>
          <w:b/>
        </w:rPr>
        <w:t>Hurdles for Pricing Matrix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Matrix pricing can not capture meter installation costs; charge based on each meter installed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Resolution:  use separate line item in bill for these costs</w:t>
      </w:r>
    </w:p>
    <w:p>
      <w:pPr>
        <w:pStyle w:val="Normal"/>
        <w:ind w:start="720" w:end="0"/>
        <w:rPr/>
      </w:pPr>
      <w:r>
        <w:rPr/>
      </w:r>
    </w:p>
    <w:sectPr>
      <w:type w:val="nextPage"/>
      <w:pgSz w:w="12240" w:h="15840"/>
      <w:pgMar w:left="1440" w:right="1440" w:gutter="0" w:header="0" w:top="864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6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6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5">
    <w:lvl w:ilvl="0">
      <w:start w:val="6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</w:lvl>
  </w:abstractNum>
  <w:abstractNum w:abstractNumId="7">
    <w:lvl w:ilvl="0">
      <w:start w:val="6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8">
    <w:lvl w:ilvl="0">
      <w:start w:val="6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decimal"/>
      <w:lvlText w:val="(%1)"/>
      <w:lvlJc w:val="start"/>
      <w:pPr>
        <w:tabs>
          <w:tab w:val="num" w:pos="1080"/>
        </w:tabs>
        <w:ind w:start="10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  <w:sz w:val="16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  <w:sz w:val="16"/>
    </w:rPr>
  </w:style>
  <w:style w:type="character" w:styleId="WW8Num18z0">
    <w:name w:val="WW8Num18z0"/>
    <w:qFormat/>
    <w:rPr>
      <w:rFonts w:ascii="Symbol" w:hAnsi="Symbol" w:cs="Symbol"/>
      <w:sz w:val="16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spacing w:lineRule="atLeast" w:line="240"/>
      <w:ind w:hanging="360" w:start="360" w:end="0"/>
    </w:pPr>
    <w:rPr>
      <w:rFonts w:ascii="Helv" w:hAnsi="Helv" w:cs="Helv"/>
      <w:b/>
      <w:color w:val="000000"/>
      <w:lang w:eastAsia="en-US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Jennifer EES Memo</Template>
  <TotalTime>69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2001-06-05T17:57:00Z</dcterms:created>
  <dc:creator>Jennifer Rudolph</dc:creator>
  <dc:description/>
  <dc:language>en-CA</dc:language>
  <cp:lastModifiedBy>mdotson</cp:lastModifiedBy>
  <cp:lastPrinted>2001-06-11T11:29:00Z</cp:lastPrinted>
  <dcterms:modified xsi:type="dcterms:W3CDTF">2001-06-11T19:02:00Z</dcterms:modified>
  <cp:revision>7</cp:revision>
  <dc:subject/>
  <dc:title> </dc:title>
</cp:coreProperties>
</file>