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numPr>
          <w:ilvl w:val="0"/>
          <w:numId w:val="0"/>
        </w:numPr>
        <w:tabs>
          <w:tab w:val="clear" w:pos="4536"/>
          <w:tab w:val="clear" w:pos="9072"/>
          <w:tab w:val="left" w:pos="1134" w:leader="none"/>
        </w:tabs>
        <w:rPr>
          <w:rStyle w:val="AAReference"/>
          <w:rFonts w:ascii="Times New Roman" w:hAnsi="Times New Roman" w:cs="Times New Roman"/>
          <w:sz w:val="22"/>
        </w:rPr>
      </w:pPr>
      <w:r>
        <w:rPr/>
      </w:r>
    </w:p>
    <w:p>
      <w:pPr>
        <w:sectPr>
          <w:headerReference w:type="default" r:id="rId2"/>
          <w:headerReference w:type="first" r:id="rId3"/>
          <w:footerReference w:type="default" r:id="rId4"/>
          <w:footerReference w:type="first" r:id="rId5"/>
          <w:type w:val="nextPage"/>
          <w:pgSz w:w="12240" w:h="15840"/>
          <w:pgMar w:left="1440" w:right="1440" w:gutter="0" w:header="1219" w:top="2353" w:footer="1383" w:bottom="1701"/>
          <w:pgNumType w:fmt="decimal"/>
          <w:formProt w:val="false"/>
          <w:titlePg/>
          <w:textDirection w:val="lrTb"/>
          <w:docGrid w:type="default" w:linePitch="360" w:charSpace="0"/>
        </w:sectPr>
      </w:pPr>
    </w:p>
    <w:tbl>
      <w:tblPr>
        <w:tblW w:w="6370" w:type="dxa"/>
        <w:jc w:val="start"/>
        <w:tblInd w:w="0" w:type="dxa"/>
        <w:tblLayout w:type="fixed"/>
        <w:tblCellMar>
          <w:top w:w="0" w:type="dxa"/>
          <w:start w:w="70" w:type="dxa"/>
          <w:bottom w:w="0" w:type="dxa"/>
          <w:end w:w="70" w:type="dxa"/>
        </w:tblCellMar>
      </w:tblPr>
      <w:tblGrid>
        <w:gridCol w:w="964"/>
        <w:gridCol w:w="5406"/>
      </w:tblGrid>
      <w:tr>
        <w:trPr>
          <w:trHeight w:val="80" w:hRule="atLeast"/>
        </w:trPr>
        <w:tc>
          <w:tcPr>
            <w:tcW w:w="964" w:type="dxa"/>
            <w:tcBorders/>
          </w:tcPr>
          <w:p>
            <w:pPr>
              <w:pStyle w:val="Normal"/>
              <w:spacing w:lineRule="auto" w:line="240" w:before="80" w:after="0"/>
              <w:rPr/>
            </w:pPr>
            <w:r>
              <w:rPr>
                <w:rStyle w:val="AAReference"/>
                <w:rFonts w:cs="Times New Roman"/>
                <w:sz w:val="22"/>
              </w:rPr>
              <w:t>To</w:t>
            </w:r>
          </w:p>
        </w:tc>
        <w:tc>
          <w:tcPr>
            <w:tcW w:w="5406" w:type="dxa"/>
            <w:tcBorders/>
          </w:tcPr>
          <w:p>
            <w:pPr>
              <w:pStyle w:val="Normal"/>
              <w:spacing w:lineRule="auto" w:line="240" w:before="80" w:after="0"/>
              <w:rPr/>
            </w:pPr>
            <w:r>
              <w:rPr>
                <w:rStyle w:val="AAReference"/>
                <w:rFonts w:cs="Times New Roman"/>
                <w:sz w:val="22"/>
              </w:rPr>
              <w:t>Michael Anderson, Azurix</w:t>
            </w:r>
          </w:p>
        </w:tc>
      </w:tr>
      <w:tr>
        <w:trPr>
          <w:trHeight w:val="80" w:hRule="exact"/>
        </w:trPr>
        <w:tc>
          <w:tcPr>
            <w:tcW w:w="6370" w:type="dxa"/>
            <w:gridSpan w:val="2"/>
            <w:tcBorders/>
          </w:tcPr>
          <w:p>
            <w:pPr>
              <w:pStyle w:val="Normal"/>
              <w:snapToGrid w:val="false"/>
              <w:rPr>
                <w:rStyle w:val="AAReference"/>
                <w:rFonts w:ascii="Times New Roman" w:hAnsi="Times New Roman" w:cs="Times New Roman"/>
                <w:sz w:val="22"/>
              </w:rPr>
            </w:pPr>
            <w:r>
              <w:rPr/>
            </w:r>
          </w:p>
        </w:tc>
      </w:tr>
      <w:tr>
        <w:trPr>
          <w:trHeight w:val="612" w:hRule="exact"/>
        </w:trPr>
        <w:tc>
          <w:tcPr>
            <w:tcW w:w="964" w:type="dxa"/>
            <w:tcBorders/>
          </w:tcPr>
          <w:p>
            <w:pPr>
              <w:pStyle w:val="Normal"/>
              <w:spacing w:lineRule="auto" w:line="240" w:before="80" w:after="0"/>
              <w:rPr/>
            </w:pPr>
            <w:r>
              <w:rPr>
                <w:rStyle w:val="AAReference"/>
                <w:rFonts w:cs="Times New Roman"/>
                <w:sz w:val="22"/>
              </w:rPr>
              <w:t>From</w:t>
            </w:r>
          </w:p>
        </w:tc>
        <w:tc>
          <w:tcPr>
            <w:tcW w:w="5406" w:type="dxa"/>
            <w:tcBorders/>
          </w:tcPr>
          <w:p>
            <w:pPr>
              <w:pStyle w:val="Normal"/>
              <w:rPr/>
            </w:pPr>
            <w:bookmarkStart w:id="14" w:name="From"/>
            <w:r>
              <w:rPr/>
              <w:t>Ken G. Rue</w:t>
            </w:r>
          </w:p>
          <w:p>
            <w:pPr>
              <w:pStyle w:val="Normal"/>
              <w:rPr/>
            </w:pPr>
            <w:bookmarkStart w:id="15" w:name="From"/>
            <w:r>
              <w:rPr/>
              <w:t>Jennifer E. Sims</w:t>
            </w:r>
            <w:bookmarkEnd w:id="15"/>
            <w:r>
              <w:rPr/>
              <w:t xml:space="preserve"> Vu</w:t>
            </w:r>
          </w:p>
        </w:tc>
      </w:tr>
      <w:tr>
        <w:trPr>
          <w:trHeight w:val="360" w:hRule="exact"/>
        </w:trPr>
        <w:tc>
          <w:tcPr>
            <w:tcW w:w="964" w:type="dxa"/>
            <w:tcBorders/>
          </w:tcPr>
          <w:p>
            <w:pPr>
              <w:pStyle w:val="Normal"/>
              <w:spacing w:lineRule="auto" w:line="240" w:before="80" w:after="0"/>
              <w:rPr/>
            </w:pPr>
            <w:r>
              <w:rPr>
                <w:rStyle w:val="AAReference"/>
                <w:rFonts w:cs="Times New Roman"/>
                <w:sz w:val="22"/>
              </w:rPr>
              <w:t>Date</w:t>
            </w:r>
          </w:p>
        </w:tc>
        <w:tc>
          <w:tcPr>
            <w:tcW w:w="5406" w:type="dxa"/>
            <w:tcBorders/>
          </w:tcPr>
          <w:p>
            <w:pPr>
              <w:pStyle w:val="Normal"/>
              <w:rPr/>
            </w:pPr>
            <w:r>
              <w:rPr/>
              <w:t>October 26, 2001</w:t>
            </w:r>
          </w:p>
        </w:tc>
      </w:tr>
      <w:tr>
        <w:trPr>
          <w:trHeight w:val="837" w:hRule="exact"/>
        </w:trPr>
        <w:tc>
          <w:tcPr>
            <w:tcW w:w="964" w:type="dxa"/>
            <w:tcBorders/>
          </w:tcPr>
          <w:p>
            <w:pPr>
              <w:pStyle w:val="Normal"/>
              <w:spacing w:lineRule="auto" w:line="240" w:before="80" w:after="0"/>
              <w:rPr/>
            </w:pPr>
            <w:r>
              <w:rPr>
                <w:rStyle w:val="AAReference"/>
                <w:rFonts w:cs="Times New Roman"/>
                <w:sz w:val="22"/>
              </w:rPr>
              <w:t>Subject</w:t>
            </w:r>
          </w:p>
        </w:tc>
        <w:tc>
          <w:tcPr>
            <w:tcW w:w="5406" w:type="dxa"/>
            <w:tcBorders/>
          </w:tcPr>
          <w:p>
            <w:pPr>
              <w:pStyle w:val="Normal"/>
              <w:spacing w:lineRule="auto" w:line="240" w:before="80" w:after="0"/>
              <w:rPr/>
            </w:pPr>
            <w:bookmarkStart w:id="16" w:name="ClientCode"/>
            <w:bookmarkEnd w:id="16"/>
            <w:r>
              <w:rPr>
                <w:rStyle w:val="AAReference"/>
                <w:rFonts w:cs="Times New Roman"/>
                <w:sz w:val="22"/>
              </w:rPr>
              <w:t>Azurix (Wessex) Valuation Review for SFAS 142</w:t>
            </w:r>
          </w:p>
        </w:tc>
      </w:tr>
    </w:tbl>
    <w:p>
      <w:pPr>
        <w:pStyle w:val="Normal"/>
        <w:rPr>
          <w:rStyle w:val="AAReference"/>
          <w:rFonts w:ascii="Times New Roman" w:hAnsi="Times New Roman" w:cs="Times New Roman"/>
          <w:sz w:val="22"/>
        </w:rPr>
      </w:pPr>
      <w:r>
        <w:rPr/>
      </w:r>
    </w:p>
    <w:p>
      <w:pPr>
        <w:pStyle w:val="Normal"/>
        <w:rPr/>
      </w:pPr>
      <w:r>
        <w:rPr/>
      </w:r>
    </w:p>
    <w:p>
      <w:pPr>
        <w:pStyle w:val="Normal"/>
        <w:rPr/>
      </w:pPr>
      <w:r>
        <w:rPr/>
        <w:t>We were asked to review a valuation analysis prepared by Azurix for SFAS 142 purposes.  In connection with the review, we were also asked to provide feedback on Azurix’s discounted cash flow (“DCF”) model and to offer suggestions of additional analyses that should be prepared to indicate a fair value of the equity of Azurix (Wessex).</w:t>
      </w:r>
    </w:p>
    <w:p>
      <w:pPr>
        <w:pStyle w:val="Normal"/>
        <w:rPr/>
      </w:pPr>
      <w:r>
        <w:rPr/>
      </w:r>
    </w:p>
    <w:p>
      <w:pPr>
        <w:pStyle w:val="Normal"/>
        <w:rPr/>
      </w:pPr>
      <w:r>
        <w:rPr/>
        <w:t>The following are our comments:</w:t>
      </w:r>
    </w:p>
    <w:p>
      <w:pPr>
        <w:pStyle w:val="Normal"/>
        <w:rPr/>
      </w:pPr>
      <w:r>
        <w:rPr/>
      </w:r>
    </w:p>
    <w:p>
      <w:pPr>
        <w:pStyle w:val="Heading3"/>
        <w:ind w:hanging="0" w:start="0"/>
        <w:rPr/>
      </w:pPr>
      <w:r>
        <w:rPr/>
        <w:t>DCF Approach</w:t>
      </w:r>
    </w:p>
    <w:p>
      <w:pPr>
        <w:pStyle w:val="Normal"/>
        <w:rPr/>
      </w:pPr>
      <w:r>
        <w:rPr/>
      </w:r>
    </w:p>
    <w:p>
      <w:pPr>
        <w:pStyle w:val="Normal"/>
        <w:numPr>
          <w:ilvl w:val="0"/>
          <w:numId w:val="12"/>
        </w:numPr>
        <w:rPr/>
      </w:pPr>
      <w:r>
        <w:rPr/>
        <w:t>Further break the current DCF model into two separate models showing 1) the existing Wessex business and 2) the acquisition growth strategy.</w:t>
      </w:r>
    </w:p>
    <w:p>
      <w:pPr>
        <w:pStyle w:val="Normal"/>
        <w:rPr/>
      </w:pPr>
      <w:r>
        <w:rPr/>
      </w:r>
    </w:p>
    <w:p>
      <w:pPr>
        <w:pStyle w:val="Normal"/>
        <w:numPr>
          <w:ilvl w:val="0"/>
          <w:numId w:val="12"/>
        </w:numPr>
        <w:rPr/>
      </w:pPr>
      <w:r>
        <w:rPr/>
        <w:t>Use different equity discount rates to reflect the difference in risk associated with the existing Wessex business and the acquisition growth component.</w:t>
      </w:r>
    </w:p>
    <w:p>
      <w:pPr>
        <w:pStyle w:val="Normal"/>
        <w:rPr/>
      </w:pPr>
      <w:r>
        <w:rPr/>
      </w:r>
    </w:p>
    <w:p>
      <w:pPr>
        <w:pStyle w:val="Normal"/>
        <w:numPr>
          <w:ilvl w:val="0"/>
          <w:numId w:val="12"/>
        </w:numPr>
        <w:rPr/>
      </w:pPr>
      <w:r>
        <w:rPr/>
        <w:t>Provide support for the equity discount rates.</w:t>
      </w:r>
    </w:p>
    <w:p>
      <w:pPr>
        <w:pStyle w:val="Normal"/>
        <w:rPr/>
      </w:pPr>
      <w:r>
        <w:rPr/>
      </w:r>
    </w:p>
    <w:p>
      <w:pPr>
        <w:pStyle w:val="Normal"/>
        <w:numPr>
          <w:ilvl w:val="0"/>
          <w:numId w:val="12"/>
        </w:numPr>
        <w:rPr/>
      </w:pPr>
      <w:r>
        <w:rPr/>
        <w:t>Consider other terminal value calculations including a multiple of RAB or EBITDA (adjusted for debt).</w:t>
      </w:r>
    </w:p>
    <w:p>
      <w:pPr>
        <w:pStyle w:val="Header"/>
        <w:tabs>
          <w:tab w:val="clear" w:pos="4536"/>
          <w:tab w:val="clear" w:pos="9072"/>
          <w:tab w:val="left" w:pos="1134" w:leader="none"/>
        </w:tabs>
        <w:rPr/>
      </w:pPr>
      <w:r>
        <w:rPr/>
      </w:r>
    </w:p>
    <w:p>
      <w:pPr>
        <w:pStyle w:val="Normal"/>
        <w:numPr>
          <w:ilvl w:val="0"/>
          <w:numId w:val="12"/>
        </w:numPr>
        <w:rPr/>
      </w:pPr>
      <w:r>
        <w:rPr/>
        <w:t>Prepare a detailed explanation and reconciliation, with greater financial support, for the positive change to the Wessex business since the stock buyback.</w:t>
      </w:r>
    </w:p>
    <w:p>
      <w:pPr>
        <w:pStyle w:val="Normal"/>
        <w:rPr/>
      </w:pPr>
      <w:r>
        <w:rPr/>
      </w:r>
    </w:p>
    <w:p>
      <w:pPr>
        <w:pStyle w:val="Header"/>
        <w:tabs>
          <w:tab w:val="clear" w:pos="4536"/>
          <w:tab w:val="clear" w:pos="9072"/>
          <w:tab w:val="left" w:pos="1134" w:leader="none"/>
        </w:tabs>
        <w:rPr/>
      </w:pPr>
      <w:r>
        <w:rPr/>
      </w:r>
    </w:p>
    <w:p>
      <w:pPr>
        <w:pStyle w:val="Normal"/>
        <w:rPr/>
      </w:pPr>
      <w:r>
        <w:rPr/>
      </w:r>
    </w:p>
    <w:p>
      <w:pPr>
        <w:pStyle w:val="Heading3"/>
        <w:ind w:hanging="0" w:start="0"/>
        <w:rPr/>
      </w:pPr>
      <w:r>
        <w:rPr/>
        <w:t>Market Approach- Public Guideline Multiples</w:t>
      </w:r>
    </w:p>
    <w:p>
      <w:pPr>
        <w:pStyle w:val="Normal"/>
        <w:rPr>
          <w:b/>
        </w:rPr>
      </w:pPr>
      <w:r>
        <w:rPr>
          <w:b/>
        </w:rPr>
      </w:r>
    </w:p>
    <w:p>
      <w:pPr>
        <w:pStyle w:val="Normal"/>
        <w:numPr>
          <w:ilvl w:val="0"/>
          <w:numId w:val="12"/>
        </w:numPr>
        <w:rPr/>
      </w:pPr>
      <w:r>
        <w:rPr/>
        <w:t xml:space="preserve">Focus on publicly traded comparable companies, specifically paying attention to which companies are most comparable to Azurix (Wessex) in terms of size, financial performance, business lines and location.  </w:t>
      </w:r>
    </w:p>
    <w:p>
      <w:pPr>
        <w:pStyle w:val="Header"/>
        <w:tabs>
          <w:tab w:val="clear" w:pos="4536"/>
          <w:tab w:val="clear" w:pos="9072"/>
          <w:tab w:val="left" w:pos="1134" w:leader="none"/>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12"/>
        </w:numPr>
        <w:rPr/>
      </w:pPr>
      <w:r>
        <w:rPr/>
        <w:t xml:space="preserve">Use the public companies analyzed by Wasserstein Perella &amp; Co., Inc. and Salomon Smith Barney Inc. for the stock buyback.  They included: </w:t>
      </w:r>
      <w:r>
        <w:rPr>
          <w:b/>
        </w:rPr>
        <w:t>Pennon Group, Kelda Group, Severn Trust, United Utilities and Anglian Water</w:t>
      </w:r>
      <w:r>
        <w:rPr/>
        <w:t>.  These public companies are superior to Vivendi, particularly Pennon Group and Kelda Group which are almost pure water companies.  Each company should be weighted based on comparability to Azurix (Wessex).</w:t>
      </w:r>
    </w:p>
    <w:p>
      <w:pPr>
        <w:pStyle w:val="Normal"/>
        <w:rPr/>
      </w:pPr>
      <w:r>
        <w:rPr/>
      </w:r>
    </w:p>
    <w:p>
      <w:pPr>
        <w:pStyle w:val="Normal"/>
        <w:rPr/>
      </w:pPr>
      <w:r>
        <w:rPr/>
      </w:r>
    </w:p>
    <w:p>
      <w:pPr>
        <w:pStyle w:val="Heading3"/>
        <w:ind w:hanging="0" w:start="0"/>
        <w:rPr/>
      </w:pPr>
      <w:r>
        <w:rPr/>
        <w:t>Market Approach- Acquisition Transactions</w:t>
      </w:r>
    </w:p>
    <w:p>
      <w:pPr>
        <w:pStyle w:val="Normal"/>
        <w:rPr>
          <w:b/>
        </w:rPr>
      </w:pPr>
      <w:r>
        <w:rPr>
          <w:b/>
        </w:rPr>
      </w:r>
    </w:p>
    <w:p>
      <w:pPr>
        <w:pStyle w:val="Normal"/>
        <w:numPr>
          <w:ilvl w:val="0"/>
          <w:numId w:val="16"/>
        </w:numPr>
        <w:rPr>
          <w:b/>
        </w:rPr>
      </w:pPr>
      <w:r>
        <w:rPr/>
        <w:t>If possible, find current transactions that involve business lines similar to Azurix (Wessex) only.  A premium was paid for American Water Works by RWE because of American’s regulated business in the United States.  A premium was paid for Thames by RWE because of their large maturing overseas development.  Unfortunately, Wessex doesn’t currently benefit from similar characteristics.</w:t>
      </w:r>
    </w:p>
    <w:p>
      <w:pPr>
        <w:pStyle w:val="Normal"/>
        <w:rPr>
          <w:b/>
        </w:rPr>
      </w:pPr>
      <w:r>
        <w:rPr>
          <w:b/>
        </w:rPr>
      </w:r>
    </w:p>
    <w:p>
      <w:pPr>
        <w:pStyle w:val="Normal"/>
        <w:numPr>
          <w:ilvl w:val="0"/>
          <w:numId w:val="16"/>
        </w:numPr>
        <w:rPr>
          <w:b/>
        </w:rPr>
      </w:pPr>
      <w:r>
        <w:rPr/>
        <w:t>Create additional support for a premium to be paid for Wessex.</w:t>
      </w:r>
    </w:p>
    <w:sectPr>
      <w:type w:val="continuous"/>
      <w:pgSz w:w="12240" w:h="15840"/>
      <w:pgMar w:left="1440" w:right="1440" w:gutter="0" w:header="1219" w:top="2353" w:footer="1383" w:bottom="1701"/>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 w:val="left" w:pos="1134" w:leader="none"/>
      </w:tabs>
      <w:spacing w:lineRule="auto" w:line="240"/>
      <w:rPr>
        <w:lang w:val="nl-NL"/>
      </w:rPr>
    </w:pPr>
    <w:r>
      <w:rPr>
        <w:lang w:val="nl-NL"/>
      </w:rPr>
    </w:r>
    <w:bookmarkStart w:id="12" w:name="Logo1st"/>
    <w:bookmarkStart w:id="13" w:name="Logo1st"/>
    <w:bookmarkEnd w:id="13"/>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6237" w:type="dxa"/>
      <w:jc w:val="start"/>
      <w:tblInd w:w="0" w:type="dxa"/>
      <w:tblLayout w:type="fixed"/>
      <w:tblCellMar>
        <w:top w:w="0" w:type="dxa"/>
        <w:start w:w="70" w:type="dxa"/>
        <w:bottom w:w="0" w:type="dxa"/>
        <w:end w:w="70" w:type="dxa"/>
      </w:tblCellMar>
    </w:tblPr>
    <w:tblGrid>
      <w:gridCol w:w="907"/>
      <w:gridCol w:w="5330"/>
    </w:tblGrid>
    <w:tr>
      <w:trPr>
        <w:trHeight w:val="280" w:hRule="exact"/>
      </w:trPr>
      <w:tc>
        <w:tcPr>
          <w:tcW w:w="907" w:type="dxa"/>
          <w:tcBorders/>
        </w:tcPr>
        <w:p>
          <w:pPr>
            <w:pStyle w:val="Normal"/>
            <w:rPr/>
          </w:pPr>
          <w:r>
            <w:rPr>
              <w:rStyle w:val="AAReference"/>
            </w:rPr>
            <w:t>Date</w:t>
          </w:r>
        </w:p>
      </w:tc>
      <w:tc>
        <w:tcPr>
          <w:tcW w:w="5330" w:type="dxa"/>
          <w:tcBorders/>
        </w:tcPr>
        <w:p>
          <w:pPr>
            <w:pStyle w:val="Normal"/>
            <w:rPr/>
          </w:pPr>
          <w:r>
            <w:rPr>
              <w:lang w:val="nl-NL"/>
            </w:rPr>
            <w:t>Receiver’s Name</w:t>
          </w:r>
        </w:p>
      </w:tc>
    </w:tr>
    <w:tr>
      <w:trPr>
        <w:trHeight w:val="280" w:hRule="exact"/>
      </w:trPr>
      <w:tc>
        <w:tcPr>
          <w:tcW w:w="907" w:type="dxa"/>
          <w:tcBorders/>
        </w:tcPr>
        <w:p>
          <w:pPr>
            <w:pStyle w:val="Normal"/>
            <w:rPr/>
          </w:pPr>
          <w:r>
            <w:rPr>
              <w:rStyle w:val="AAReference"/>
            </w:rPr>
            <w:t>Subject</w:t>
          </w:r>
        </w:p>
      </w:tc>
      <w:tc>
        <w:tcPr>
          <w:tcW w:w="5330" w:type="dxa"/>
          <w:tcBorders/>
        </w:tcPr>
        <w:p>
          <w:pPr>
            <w:pStyle w:val="Normal"/>
            <w:snapToGrid w:val="false"/>
            <w:rPr>
              <w:rStyle w:val="AAReference"/>
              <w:lang w:val="nl-NL"/>
            </w:rPr>
          </w:pPr>
          <w:r>
            <w:rPr/>
          </w:r>
        </w:p>
      </w:tc>
    </w:tr>
    <w:tr>
      <w:trPr>
        <w:trHeight w:val="280" w:hRule="exact"/>
      </w:trPr>
      <w:tc>
        <w:tcPr>
          <w:tcW w:w="907" w:type="dxa"/>
          <w:tcBorders/>
        </w:tcPr>
        <w:p>
          <w:pPr>
            <w:pStyle w:val="Normal"/>
            <w:rPr/>
          </w:pPr>
          <w:r>
            <w:rPr>
              <w:rStyle w:val="AAReference"/>
            </w:rPr>
            <w:t>Page</w:t>
          </w:r>
        </w:p>
      </w:tc>
      <w:tc>
        <w:tcPr>
          <w:tcW w:w="5330" w:type="dxa"/>
          <w:tcBorders/>
        </w:tcPr>
        <w:p>
          <w:pPr>
            <w:pStyle w:val="Normal"/>
            <w:rPr>
              <w:lang w:val="nl-NL"/>
            </w:rPr>
          </w:pPr>
          <w:r>
            <w:rPr>
              <w:lang w:val="nl-NL"/>
            </w:rPr>
            <w:fldChar w:fldCharType="begin"/>
          </w:r>
          <w:r>
            <w:rPr>
              <w:lang w:val="nl-NL"/>
            </w:rPr>
            <w:instrText xml:space="preserve"> PAGE </w:instrText>
          </w:r>
          <w:r>
            <w:rPr>
              <w:lang w:val="nl-NL"/>
            </w:rPr>
            <w:fldChar w:fldCharType="separate"/>
          </w:r>
          <w:r>
            <w:rPr>
              <w:lang w:val="nl-NL"/>
            </w:rPr>
            <w:t>2</w:t>
          </w:r>
          <w:r>
            <w:rPr>
              <w:lang w:val="nl-NL"/>
            </w:rPr>
            <w:fldChar w:fldCharType="end"/>
          </w:r>
          <w:r>
            <w:rPr>
              <w:lang w:val="nl-NL"/>
            </w:rPr>
            <w:t xml:space="preserve"> </w:t>
          </w:r>
          <w:r>
            <w:rPr>
              <w:lang w:val="nl-NL"/>
            </w:rPr>
            <w:t xml:space="preserve">of </w:t>
          </w:r>
          <w:r>
            <w:rPr>
              <w:lang w:val="nl-NL"/>
            </w:rPr>
            <w:fldChar w:fldCharType="begin"/>
          </w:r>
          <w:r>
            <w:rPr>
              <w:lang w:val="nl-NL"/>
            </w:rPr>
            <w:instrText xml:space="preserve"> NUMPAGES \* ARABIC </w:instrText>
          </w:r>
          <w:r>
            <w:rPr>
              <w:lang w:val="nl-NL"/>
            </w:rPr>
            <w:fldChar w:fldCharType="separate"/>
          </w:r>
          <w:r>
            <w:rPr>
              <w:lang w:val="nl-NL"/>
            </w:rPr>
            <w:t>2</w:t>
          </w:r>
          <w:r>
            <w:rPr>
              <w:lang w:val="nl-N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lang w:val="en-CA"/>
      </w:rPr>
    </w:pPr>
    <w:r>
      <w:rPr>
        <w:lang w:val="en-CA"/>
      </w:rPr>
      <w:drawing>
        <wp:anchor behindDoc="0" distT="0" distB="0" distL="114935" distR="114935" simplePos="0" locked="0" layoutInCell="0" allowOverlap="1" relativeHeight="3">
          <wp:simplePos x="0" y="0"/>
          <wp:positionH relativeFrom="column">
            <wp:posOffset>0</wp:posOffset>
          </wp:positionH>
          <wp:positionV relativeFrom="page">
            <wp:posOffset>612140</wp:posOffset>
          </wp:positionV>
          <wp:extent cx="1057910" cy="295275"/>
          <wp:effectExtent l="0" t="0" r="0" b="0"/>
          <wp:wrapTopAndBottom/>
          <wp:docPr id="1" name="mem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descr="" title=""/>
                  <pic:cNvPicPr>
                    <a:picLocks noChangeAspect="1" noChangeArrowheads="1"/>
                  </pic:cNvPicPr>
                </pic:nvPicPr>
                <pic:blipFill>
                  <a:blip r:embed="rId1">
                    <a:biLevel thresh="50000"/>
                  </a:blip>
                  <a:srcRect l="-34" t="-122" r="-34" b="-122"/>
                  <a:stretch>
                    <a:fillRect/>
                  </a:stretch>
                </pic:blipFill>
                <pic:spPr bwMode="auto">
                  <a:xfrm>
                    <a:off x="0" y="0"/>
                    <a:ext cx="1057910" cy="295275"/>
                  </a:xfrm>
                  <a:prstGeom prst="rect">
                    <a:avLst/>
                  </a:prstGeom>
                  <a:noFill/>
                </pic:spPr>
              </pic:pic>
            </a:graphicData>
          </a:graphic>
        </wp:anchor>
      </w:drawing>
    </w:r>
    <w:r>
      <mc:AlternateContent>
        <mc:Choice Requires="wps">
          <w:drawing>
            <wp:anchor behindDoc="0" distT="90170" distB="90170" distL="90170" distR="90170" simplePos="0" locked="0" layoutInCell="0" allowOverlap="1" relativeHeight="2">
              <wp:simplePos x="0" y="0"/>
              <wp:positionH relativeFrom="page">
                <wp:posOffset>5095240</wp:posOffset>
              </wp:positionH>
              <wp:positionV relativeFrom="page">
                <wp:posOffset>1729105</wp:posOffset>
              </wp:positionV>
              <wp:extent cx="1785620" cy="1080135"/>
              <wp:effectExtent l="0" t="0" r="0" b="0"/>
              <wp:wrapSquare wrapText="bothSides"/>
              <wp:docPr id="2" name="Frame1"/>
              <a:graphic xmlns:a="http://schemas.openxmlformats.org/drawingml/2006/main">
                <a:graphicData uri="http://schemas.microsoft.com/office/word/2010/wordprocessingShape">
                  <wps:wsp>
                    <wps:cNvSpPr txBox="1"/>
                    <wps:spPr>
                      <a:xfrm>
                        <a:off x="0" y="0"/>
                        <a:ext cx="1785620" cy="1080135"/>
                      </a:xfrm>
                      <a:prstGeom prst="rect"/>
                      <a:solidFill>
                        <a:srgbClr val="FFFFFF">
                          <a:alpha val="0"/>
                        </a:srgbClr>
                      </a:solidFill>
                    </wps:spPr>
                    <wps:txbx>
                      <w:txbxContent>
                        <w:p>
                          <w:pPr>
                            <w:pStyle w:val="AAFrameAddress"/>
                            <w:spacing w:lineRule="exact" w:line="180"/>
                            <w:rPr>
                              <w:rStyle w:val="AAAddress"/>
                            </w:rPr>
                          </w:pPr>
                          <w:r>
                            <w:rPr/>
                          </w:r>
                          <w:bookmarkStart w:id="0" w:name="LegalEntityName"/>
                          <w:bookmarkStart w:id="1" w:name="LegalEntityName"/>
                          <w:bookmarkEnd w:id="1"/>
                        </w:p>
                        <w:p>
                          <w:pPr>
                            <w:pStyle w:val="AAFrameAddress"/>
                            <w:spacing w:lineRule="exact" w:line="180"/>
                            <w:rPr/>
                          </w:pPr>
                          <w:bookmarkStart w:id="2" w:name="Address"/>
                          <w:bookmarkEnd w:id="2"/>
                          <w:r>
                            <w:rPr>
                              <w:rStyle w:val="AAAddress"/>
                              <w:b/>
                            </w:rPr>
                            <w:br/>
                          </w:r>
                          <w:bookmarkStart w:id="3" w:name="Country"/>
                          <w:bookmarkEnd w:id="3"/>
                        </w:p>
                        <w:p>
                          <w:pPr>
                            <w:pStyle w:val="AAFrameAddress"/>
                            <w:spacing w:lineRule="exact" w:line="180" w:before="0" w:after="90"/>
                            <w:rPr/>
                          </w:pPr>
                          <w:bookmarkStart w:id="4" w:name="Phone"/>
                          <w:r>
                            <w:rPr>
                              <w:rStyle w:val="AAAddress"/>
                              <w:b/>
                            </w:rPr>
                            <w:t xml:space="preserve">Tel </w:t>
                          </w:r>
                          <w:bookmarkEnd w:id="4"/>
                          <w:r>
                            <w:rPr>
                              <w:rStyle w:val="AAAddress"/>
                              <w:b/>
                            </w:rPr>
                            <w:t>(713) 237-2125</w:t>
                            <w:br/>
                          </w:r>
                          <w:bookmarkStart w:id="5" w:name="Fax"/>
                          <w:r>
                            <w:rPr>
                              <w:rStyle w:val="AAAddress"/>
                              <w:b/>
                            </w:rPr>
                            <w:t xml:space="preserve">Fax </w:t>
                          </w:r>
                          <w:bookmarkEnd w:id="5"/>
                          <w:r>
                            <w:rPr>
                              <w:rStyle w:val="AAAddress"/>
                              <w:b/>
                            </w:rPr>
                            <w:drawing>
                              <wp:inline distT="0" distB="0" distL="0" distR="0">
                                <wp:extent cx="2691130" cy="745490"/>
                                <wp:effectExtent l="0" t="0" r="0" b="0"/>
                                <wp:docPr id="3" name="AA_60_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_60_B" descr="" title=""/>
                                        <pic:cNvPicPr>
                                          <a:picLocks noChangeAspect="1" noChangeArrowheads="1"/>
                                        </pic:cNvPicPr>
                                      </pic:nvPicPr>
                                      <pic:blipFill>
                                        <a:blip r:embed="rId2"/>
                                        <a:srcRect l="-13" t="-48" r="-13" b="-48"/>
                                        <a:stretch>
                                          <a:fillRect/>
                                        </a:stretch>
                                      </pic:blipFill>
                                      <pic:spPr bwMode="auto">
                                        <a:xfrm>
                                          <a:off x="0" y="0"/>
                                          <a:ext cx="2691130" cy="745490"/>
                                        </a:xfrm>
                                        <a:prstGeom prst="rect">
                                          <a:avLst/>
                                        </a:prstGeom>
                                        <a:noFill/>
                                      </pic:spPr>
                                    </pic:pic>
                                  </a:graphicData>
                                </a:graphic>
                              </wp:inline>
                            </w:drawing>
                            <w:t>(713) 237-2950</w:t>
                          </w:r>
                        </w:p>
                      </w:txbxContent>
                    </wps:txbx>
                    <wps:bodyPr anchor="t" lIns="0" tIns="0" rIns="0" bIns="0">
                      <a:noAutofit/>
                    </wps:bodyPr>
                  </wps:wsp>
                </a:graphicData>
              </a:graphic>
            </wp:anchor>
          </w:drawing>
        </mc:Choice>
        <mc:Fallback>
          <w:pict>
            <v:rect fillcolor="#FFFFFF" style="position:absolute;rotation:-0;width:140.6pt;height:85.05pt;mso-wrap-distance-left:7.1pt;mso-wrap-distance-right:7.1pt;mso-wrap-distance-top:7.1pt;mso-wrap-distance-bottom:7.1pt;margin-top:136.15pt;mso-position-vertical-relative:page;margin-left:401.2pt;mso-position-horizontal-relative:page">
              <v:fill opacity="0f"/>
              <v:textbox inset="0in,0in,0in,0in">
                <w:txbxContent>
                  <w:p>
                    <w:pPr>
                      <w:pStyle w:val="AAFrameAddress"/>
                      <w:spacing w:lineRule="exact" w:line="180"/>
                      <w:rPr>
                        <w:rStyle w:val="AAAddress"/>
                      </w:rPr>
                    </w:pPr>
                    <w:r>
                      <w:rPr/>
                    </w:r>
                    <w:bookmarkStart w:id="6" w:name="LegalEntityName"/>
                    <w:bookmarkStart w:id="7" w:name="LegalEntityName"/>
                    <w:bookmarkEnd w:id="7"/>
                  </w:p>
                  <w:p>
                    <w:pPr>
                      <w:pStyle w:val="AAFrameAddress"/>
                      <w:spacing w:lineRule="exact" w:line="180"/>
                      <w:rPr/>
                    </w:pPr>
                    <w:bookmarkStart w:id="8" w:name="Address"/>
                    <w:bookmarkEnd w:id="8"/>
                    <w:r>
                      <w:rPr>
                        <w:rStyle w:val="AAAddress"/>
                        <w:b/>
                      </w:rPr>
                      <w:br/>
                    </w:r>
                    <w:bookmarkStart w:id="9" w:name="Country"/>
                    <w:bookmarkEnd w:id="9"/>
                  </w:p>
                  <w:p>
                    <w:pPr>
                      <w:pStyle w:val="AAFrameAddress"/>
                      <w:spacing w:lineRule="exact" w:line="180" w:before="0" w:after="90"/>
                      <w:rPr/>
                    </w:pPr>
                    <w:bookmarkStart w:id="10" w:name="Phone"/>
                    <w:r>
                      <w:rPr>
                        <w:rStyle w:val="AAAddress"/>
                        <w:b/>
                      </w:rPr>
                      <w:t xml:space="preserve">Tel </w:t>
                    </w:r>
                    <w:bookmarkEnd w:id="10"/>
                    <w:r>
                      <w:rPr>
                        <w:rStyle w:val="AAAddress"/>
                        <w:b/>
                      </w:rPr>
                      <w:t>(713) 237-2125</w:t>
                      <w:br/>
                    </w:r>
                    <w:bookmarkStart w:id="11" w:name="Fax"/>
                    <w:r>
                      <w:rPr>
                        <w:rStyle w:val="AAAddress"/>
                        <w:b/>
                      </w:rPr>
                      <w:t xml:space="preserve">Fax </w:t>
                    </w:r>
                    <w:bookmarkEnd w:id="11"/>
                    <w:r>
                      <w:rPr>
                        <w:rStyle w:val="AAAddress"/>
                        <w:b/>
                      </w:rPr>
                      <w:drawing>
                        <wp:inline distT="0" distB="0" distL="0" distR="0">
                          <wp:extent cx="2691130" cy="745490"/>
                          <wp:effectExtent l="0" t="0" r="0" b="0"/>
                          <wp:docPr id="4" name="AA_60_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_60_B" descr="" title=""/>
                                  <pic:cNvPicPr>
                                    <a:picLocks noChangeAspect="1" noChangeArrowheads="1"/>
                                  </pic:cNvPicPr>
                                </pic:nvPicPr>
                                <pic:blipFill>
                                  <a:blip r:embed="rId3"/>
                                  <a:srcRect l="-13" t="-48" r="-13" b="-48"/>
                                  <a:stretch>
                                    <a:fillRect/>
                                  </a:stretch>
                                </pic:blipFill>
                                <pic:spPr bwMode="auto">
                                  <a:xfrm>
                                    <a:off x="0" y="0"/>
                                    <a:ext cx="2691130" cy="745490"/>
                                  </a:xfrm>
                                  <a:prstGeom prst="rect">
                                    <a:avLst/>
                                  </a:prstGeom>
                                  <a:noFill/>
                                </pic:spPr>
                              </pic:pic>
                            </a:graphicData>
                          </a:graphic>
                        </wp:inline>
                      </w:drawing>
                      <w:t>(713) 237-2950</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decimal"/>
      <w:lvlText w:val="%1."/>
      <w:lvlJc w:val="start"/>
      <w:pPr>
        <w:tabs>
          <w:tab w:val="num" w:pos="283"/>
        </w:tabs>
        <w:ind w:start="283" w:hanging="283"/>
      </w:p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abstractNum w:abstractNumId="15">
    <w:lvl w:ilvl="0">
      <w:start w:val="1"/>
      <w:numFmt w:val="bullet"/>
      <w:lvlText w:val=""/>
      <w:lvlJc w:val="start"/>
      <w:pPr>
        <w:tabs>
          <w:tab w:val="num" w:pos="283"/>
        </w:tabs>
        <w:ind w:start="283" w:hanging="283"/>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6"/>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6"/>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before="0" w:after="0"/>
      <w:outlineLvl w:val="0"/>
    </w:pPr>
    <w:rPr>
      <w:b/>
    </w:rPr>
  </w:style>
  <w:style w:type="paragraph" w:styleId="Heading2">
    <w:name w:val="heading 2"/>
    <w:basedOn w:val="Normal"/>
    <w:next w:val="Normal"/>
    <w:qFormat/>
    <w:pPr>
      <w:keepNext w:val="true"/>
      <w:numPr>
        <w:ilvl w:val="1"/>
        <w:numId w:val="1"/>
      </w:numPr>
      <w:tabs>
        <w:tab w:val="clear" w:pos="1134"/>
      </w:tabs>
      <w:spacing w:lineRule="auto" w:line="240"/>
      <w:outlineLvl w:val="1"/>
    </w:pPr>
    <w:rPr>
      <w:rFonts w:ascii="Book Antiqua" w:hAnsi="Book Antiqua" w:cs="Book Antiqua"/>
      <w:b/>
      <w:sz w:val="20"/>
      <w:u w:val="single"/>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Wingdings" w:hAnsi="Wingdings" w:cs="Wingdings"/>
    </w:rPr>
  </w:style>
  <w:style w:type="character" w:styleId="WW8Num26z0">
    <w:name w:val="WW8Num26z0"/>
    <w:qFormat/>
    <w:rPr>
      <w:rFonts w:ascii="Symbol" w:hAnsi="Symbol" w:cs="Symbol"/>
      <w:color w:val="auto"/>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sz w:val="16"/>
    </w:rPr>
  </w:style>
  <w:style w:type="character" w:styleId="WW8Num41z0">
    <w:name w:val="WW8Num41z0"/>
    <w:qFormat/>
    <w:rPr>
      <w:rFonts w:ascii="Symbol" w:hAnsi="Symbol" w:cs="Symbol"/>
      <w:color w:val="auto"/>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color w:val="auto"/>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9z0">
    <w:name w:val="WW8Num49z0"/>
    <w:qFormat/>
    <w:rPr>
      <w:rFonts w:ascii="Symbol" w:hAnsi="Symbol" w:cs="Symbol"/>
    </w:rPr>
  </w:style>
  <w:style w:type="character" w:styleId="WW8Num51z0">
    <w:name w:val="WW8Num51z0"/>
    <w:qFormat/>
    <w:rPr>
      <w:rFonts w:ascii="Symbol" w:hAnsi="Symbol" w:cs="Symbol"/>
      <w:color w:val="auto"/>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color w:val="auto"/>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4"/>
      </w:numPr>
      <w:tabs>
        <w:tab w:val="clear" w:pos="1134"/>
      </w:tabs>
      <w:ind w:hanging="284" w:start="284" w:end="0"/>
    </w:pPr>
    <w:rPr/>
  </w:style>
  <w:style w:type="paragraph" w:styleId="AA2ndlevelbullet">
    <w:name w:val="AA 2nd level bullet"/>
    <w:basedOn w:val="AA1stlevelbullet"/>
    <w:qFormat/>
    <w:pPr>
      <w:numPr>
        <w:ilvl w:val="0"/>
        <w:numId w:val="15"/>
      </w:numPr>
      <w:ind w:hanging="284" w:start="568" w:end="0"/>
    </w:pPr>
    <w:rPr/>
  </w:style>
  <w:style w:type="paragraph" w:styleId="AANumbering">
    <w:name w:val="AA Numbering"/>
    <w:basedOn w:val="Normal"/>
    <w:qFormat/>
    <w:pPr>
      <w:numPr>
        <w:ilvl w:val="0"/>
        <w:numId w:val="13"/>
      </w:num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png"/><Relationship Id="rId3"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2001-10-18T16:34:00Z</dcterms:created>
  <dc:creator>Arthur Andersen</dc:creator>
  <dc:description>Start typing here</dc:description>
  <dc:language>en-CA</dc:language>
  <cp:lastModifiedBy>simsje</cp:lastModifiedBy>
  <cp:lastPrinted>2001-10-26T11:52:00Z</cp:lastPrinted>
  <dcterms:modified xsi:type="dcterms:W3CDTF">2001-10-26T14:49:00Z</dcterms:modified>
  <cp:revision>16</cp:revision>
  <dc:subject/>
  <dc:title>To</dc:title>
</cp:coreProperties>
</file>