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Zurich BT;Tahoma" w:hAnsi="Zurich BT;Tahoma" w:cs="Zurich BT;Tahoma"/>
          <w:spacing w:val="-8"/>
          <w:sz w:val="16"/>
          <w:lang w:val="en-CA"/>
        </w:rPr>
      </w:pPr>
      <w:r>
        <w:rPr>
          <w:rFonts w:cs="Zurich BT;Tahoma" w:ascii="Zurich BT;Tahoma" w:hAnsi="Zurich BT;Tahoma"/>
          <w:spacing w:val="-8"/>
          <w:sz w:val="16"/>
          <w:lang w:val="en-CA"/>
        </w:rPr>
        <w:drawing>
          <wp:anchor behindDoc="0" distT="0" distB="0" distL="114935" distR="114935" simplePos="0" locked="0" layoutInCell="0" allowOverlap="1" relativeHeight="2">
            <wp:simplePos x="0" y="0"/>
            <wp:positionH relativeFrom="column">
              <wp:posOffset>3383280</wp:posOffset>
            </wp:positionH>
            <wp:positionV relativeFrom="paragraph">
              <wp:posOffset>274320</wp:posOffset>
            </wp:positionV>
            <wp:extent cx="2189480" cy="66548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189480" cy="665480"/>
                    </a:xfrm>
                    <a:prstGeom prst="rect">
                      <a:avLst/>
                    </a:prstGeom>
                    <a:noFill/>
                  </pic:spPr>
                </pic:pic>
              </a:graphicData>
            </a:graphic>
          </wp:anchor>
        </w:drawing>
      </w:r>
    </w:p>
    <w:p>
      <w:pPr>
        <w:pStyle w:val="Normal"/>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spacing w:val="-8"/>
          <w:sz w:val="16"/>
        </w:rPr>
      </w:pPr>
      <w:r>
        <w:rPr>
          <w:rFonts w:cs="Zurich BT;Tahoma" w:ascii="Zurich BT;Tahoma" w:hAnsi="Zurich BT;Tahoma"/>
          <w:spacing w:val="-8"/>
          <w:sz w:val="16"/>
        </w:rPr>
      </w:r>
    </w:p>
    <w:p>
      <w:pPr>
        <w:pStyle w:val="Normal"/>
        <w:ind w:firstLine="720" w:start="6480" w:end="0"/>
        <w:rPr>
          <w:rFonts w:ascii="Zurich BT;Tahoma" w:hAnsi="Zurich BT;Tahoma" w:cs="Zurich BT;Tahoma"/>
          <w:color w:val="808080"/>
          <w:spacing w:val="-8"/>
          <w:sz w:val="16"/>
        </w:rPr>
      </w:pPr>
      <w:r>
        <w:rPr>
          <w:rFonts w:cs="Zurich BT;Tahoma" w:ascii="Zurich BT;Tahoma" w:hAnsi="Zurich BT;Tahoma"/>
          <w:color w:val="808080"/>
          <w:spacing w:val="-8"/>
          <w:sz w:val="16"/>
        </w:rPr>
        <w:t>1401 New York Avenue, NW</w:t>
      </w:r>
    </w:p>
    <w:p>
      <w:pPr>
        <w:pStyle w:val="Normal"/>
        <w:rPr/>
      </w:pPr>
      <w:r>
        <w:rPr>
          <w:rFonts w:cs="Zurich BT;Tahoma" w:ascii="Zurich BT;Tahoma" w:hAnsi="Zurich BT;Tahoma"/>
          <w:color w:val="808080"/>
          <w:spacing w:val="-8"/>
          <w:sz w:val="16"/>
        </w:rPr>
        <w:tab/>
        <w:tab/>
        <w:tab/>
        <w:tab/>
        <w:tab/>
        <w:tab/>
        <w:tab/>
        <w:tab/>
        <w:tab/>
        <w:tab/>
        <w:t>11</w:t>
      </w:r>
      <w:r>
        <w:rPr>
          <w:rFonts w:cs="Zurich BT;Tahoma" w:ascii="Zurich BT;Tahoma" w:hAnsi="Zurich BT;Tahoma"/>
          <w:color w:val="808080"/>
          <w:spacing w:val="-8"/>
          <w:sz w:val="16"/>
          <w:vertAlign w:val="superscript"/>
        </w:rPr>
        <w:t>th</w:t>
      </w:r>
      <w:r>
        <w:rPr>
          <w:rFonts w:cs="Zurich BT;Tahoma" w:ascii="Zurich BT;Tahoma" w:hAnsi="Zurich BT;Tahoma"/>
          <w:color w:val="808080"/>
          <w:spacing w:val="-8"/>
          <w:sz w:val="16"/>
        </w:rPr>
        <w:t xml:space="preserve"> Floor</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Washington, DC 20005</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202/628-8200</w:t>
      </w:r>
    </w:p>
    <w:p>
      <w:pPr>
        <w:pStyle w:val="Normal"/>
        <w:rPr>
          <w:rFonts w:ascii="Zurich BT;Tahoma" w:hAnsi="Zurich BT;Tahoma" w:cs="Zurich BT;Tahoma"/>
          <w:color w:val="808080"/>
          <w:spacing w:val="-8"/>
          <w:sz w:val="16"/>
        </w:rPr>
      </w:pPr>
      <w:r>
        <w:rPr>
          <w:rFonts w:cs="Zurich BT;Tahoma" w:ascii="Zurich BT;Tahoma" w:hAnsi="Zurich BT;Tahoma"/>
          <w:color w:val="808080"/>
          <w:spacing w:val="-8"/>
          <w:sz w:val="16"/>
        </w:rPr>
        <w:tab/>
        <w:tab/>
        <w:tab/>
        <w:tab/>
        <w:tab/>
        <w:tab/>
        <w:tab/>
        <w:tab/>
        <w:tab/>
        <w:tab/>
        <w:t>202/628-8260  fax</w:t>
      </w:r>
    </w:p>
    <w:p>
      <w:pPr>
        <w:pStyle w:val="Normal"/>
        <w:rPr/>
      </w:pPr>
      <w:r>
        <w:rPr>
          <w:rFonts w:cs="Zurich BT;Tahoma" w:ascii="Zurich BT;Tahoma" w:hAnsi="Zurich BT;Tahoma"/>
          <w:color w:val="808080"/>
          <w:spacing w:val="-8"/>
          <w:sz w:val="16"/>
        </w:rPr>
        <w:tab/>
        <w:tab/>
        <w:tab/>
        <w:tab/>
        <w:tab/>
        <w:tab/>
        <w:tab/>
        <w:tab/>
        <w:tab/>
        <w:tab/>
      </w:r>
      <w:r>
        <w:rPr>
          <w:rFonts w:cs="Zurich BT;Tahoma" w:ascii="Zurich BT;Tahoma" w:hAnsi="Zurich BT;Tahoma"/>
          <w:color w:val="808080"/>
          <w:spacing w:val="-14"/>
          <w:sz w:val="16"/>
        </w:rPr>
        <w:t>www.epsa.org</w:t>
      </w:r>
    </w:p>
    <w:p>
      <w:pPr>
        <w:pStyle w:val="Normal"/>
        <w:rPr>
          <w:rFonts w:ascii="Zurich BT;Tahoma" w:hAnsi="Zurich BT;Tahoma" w:cs="Zurich BT;Tahoma"/>
          <w:color w:val="808080"/>
          <w:spacing w:val="-8"/>
          <w:sz w:val="18"/>
        </w:rPr>
      </w:pPr>
      <w:r>
        <w:rPr>
          <w:rFonts w:cs="Zurich BT;Tahoma" w:ascii="Zurich BT;Tahoma" w:hAnsi="Zurich BT;Tahoma"/>
          <w:color w:val="808080"/>
          <w:spacing w:val="-8"/>
          <w:sz w:val="18"/>
        </w:rPr>
      </w:r>
    </w:p>
    <w:p>
      <w:pPr>
        <w:pStyle w:val="Normal"/>
        <w:rPr>
          <w:rFonts w:ascii="Arial" w:hAnsi="Arial" w:cs="Arial"/>
          <w:b/>
          <w:spacing w:val="20"/>
          <w:sz w:val="24"/>
        </w:rPr>
      </w:pPr>
      <w:r>
        <w:rPr>
          <w:rFonts w:cs="Arial" w:ascii="Arial" w:hAnsi="Arial"/>
          <w:b/>
          <w:caps/>
          <w:spacing w:val="20"/>
          <w:sz w:val="24"/>
        </w:rPr>
        <w:t>Memorandum</w:t>
      </w:r>
      <w:r>
        <w:rPr>
          <w:rFonts w:cs="Arial" w:ascii="Arial" w:hAnsi="Arial"/>
          <w:b/>
          <w:spacing w:val="20"/>
          <w:sz w:val="24"/>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rHeight w:val="558" w:hRule="atLeast"/>
        </w:trPr>
        <w:tc>
          <w:tcPr>
            <w:tcW w:w="1278" w:type="dxa"/>
            <w:tcBorders/>
          </w:tcPr>
          <w:p>
            <w:pPr>
              <w:pStyle w:val="Normal"/>
              <w:spacing w:lineRule="auto" w:line="360"/>
              <w:rPr>
                <w:rFonts w:ascii="Arial" w:hAnsi="Arial" w:cs="Arial"/>
                <w:b/>
                <w:smallCaps/>
                <w:sz w:val="24"/>
              </w:rPr>
            </w:pPr>
            <w:r>
              <w:rPr>
                <w:rFonts w:cs="Arial" w:ascii="Arial" w:hAnsi="Arial"/>
                <w:b/>
                <w:smallCaps/>
                <w:sz w:val="24"/>
              </w:rPr>
              <w:t>TO:</w:t>
            </w:r>
          </w:p>
        </w:tc>
        <w:tc>
          <w:tcPr>
            <w:tcW w:w="7578" w:type="dxa"/>
            <w:tcBorders/>
          </w:tcPr>
          <w:p>
            <w:pPr>
              <w:pStyle w:val="Normal"/>
              <w:rPr>
                <w:rFonts w:ascii="Arial" w:hAnsi="Arial" w:cs="Arial"/>
                <w:sz w:val="24"/>
              </w:rPr>
            </w:pPr>
            <w:r>
              <w:rPr>
                <w:rFonts w:cs="Arial" w:ascii="Arial" w:hAnsi="Arial"/>
                <w:sz w:val="24"/>
              </w:rPr>
              <w:t>EPSA Legislative Affairs Committee</w:t>
            </w:r>
          </w:p>
          <w:p>
            <w:pPr>
              <w:pStyle w:val="Normal"/>
              <w:rPr>
                <w:rFonts w:ascii="Arial" w:hAnsi="Arial" w:cs="Arial"/>
                <w:sz w:val="24"/>
              </w:rPr>
            </w:pPr>
            <w:r>
              <w:rPr>
                <w:rFonts w:cs="Arial" w:ascii="Arial" w:hAnsi="Arial"/>
                <w:sz w:val="24"/>
              </w:rPr>
              <w:t>EPSA Renewables Committee</w:t>
            </w:r>
          </w:p>
        </w:tc>
      </w:tr>
      <w:tr>
        <w:trPr/>
        <w:tc>
          <w:tcPr>
            <w:tcW w:w="1278" w:type="dxa"/>
            <w:tcBorders/>
          </w:tcPr>
          <w:p>
            <w:pPr>
              <w:pStyle w:val="Normal"/>
              <w:spacing w:lineRule="auto" w:line="360"/>
              <w:rPr>
                <w:rFonts w:ascii="Arial" w:hAnsi="Arial" w:cs="Arial"/>
                <w:b/>
                <w:smallCaps/>
                <w:sz w:val="24"/>
              </w:rPr>
            </w:pPr>
            <w:r>
              <w:rPr>
                <w:rFonts w:cs="Arial" w:ascii="Arial" w:hAnsi="Arial"/>
                <w:b/>
                <w:smallCaps/>
                <w:sz w:val="24"/>
              </w:rPr>
              <w:t>FROM:</w:t>
            </w:r>
          </w:p>
        </w:tc>
        <w:tc>
          <w:tcPr>
            <w:tcW w:w="7578" w:type="dxa"/>
            <w:tcBorders/>
          </w:tcPr>
          <w:p>
            <w:pPr>
              <w:pStyle w:val="Normal"/>
              <w:rPr>
                <w:rFonts w:ascii="Arial" w:hAnsi="Arial" w:cs="Arial"/>
                <w:sz w:val="24"/>
              </w:rPr>
            </w:pPr>
            <w:r>
              <w:rPr>
                <w:rFonts w:cs="Arial" w:ascii="Arial" w:hAnsi="Arial"/>
                <w:sz w:val="24"/>
              </w:rPr>
              <w:t>Scott A. Weiner, Legislative Affairs Committee Chair</w:t>
            </w:r>
          </w:p>
          <w:p>
            <w:pPr>
              <w:pStyle w:val="Normal"/>
              <w:rPr>
                <w:rFonts w:ascii="Arial" w:hAnsi="Arial" w:cs="Arial"/>
                <w:sz w:val="24"/>
              </w:rPr>
            </w:pPr>
            <w:r>
              <w:rPr>
                <w:rFonts w:cs="Arial" w:ascii="Arial" w:hAnsi="Arial"/>
                <w:sz w:val="24"/>
              </w:rPr>
              <w:t>Andrew Chau, Renewables Committee Chair</w:t>
              <w:br/>
              <w:t>Andrea L. Spring, Manager of Government Affairs</w:t>
            </w:r>
          </w:p>
        </w:tc>
      </w:tr>
      <w:tr>
        <w:trPr/>
        <w:tc>
          <w:tcPr>
            <w:tcW w:w="1278" w:type="dxa"/>
            <w:tcBorders/>
          </w:tcPr>
          <w:p>
            <w:pPr>
              <w:pStyle w:val="Normal"/>
              <w:spacing w:lineRule="auto" w:line="360"/>
              <w:rPr>
                <w:rFonts w:ascii="Arial" w:hAnsi="Arial" w:cs="Arial"/>
                <w:b/>
                <w:smallCaps/>
                <w:sz w:val="24"/>
              </w:rPr>
            </w:pPr>
            <w:r>
              <w:rPr>
                <w:rFonts w:cs="Arial" w:ascii="Arial" w:hAnsi="Arial"/>
                <w:b/>
                <w:smallCaps/>
                <w:sz w:val="24"/>
              </w:rPr>
              <w:t>DATE:</w:t>
            </w:r>
          </w:p>
        </w:tc>
        <w:tc>
          <w:tcPr>
            <w:tcW w:w="7578" w:type="dxa"/>
            <w:tcBorders/>
          </w:tcPr>
          <w:p>
            <w:pPr>
              <w:pStyle w:val="Normal"/>
              <w:spacing w:lineRule="auto" w:line="360"/>
              <w:rPr>
                <w:rFonts w:ascii="Arial" w:hAnsi="Arial" w:cs="Arial"/>
                <w:sz w:val="24"/>
              </w:rPr>
            </w:pPr>
            <w:r>
              <w:rPr>
                <w:rFonts w:cs="Arial" w:ascii="Arial" w:hAnsi="Arial"/>
                <w:sz w:val="24"/>
              </w:rPr>
              <w:fldChar w:fldCharType="begin"/>
            </w:r>
            <w:r>
              <w:rPr>
                <w:sz w:val="24"/>
                <w:rFonts w:cs="Arial" w:ascii="Arial" w:hAnsi="Arial"/>
              </w:rPr>
              <w:instrText xml:space="preserve"> DATE \@"MMMM\ d', 'yyyy" </w:instrText>
            </w:r>
            <w:r>
              <w:rPr>
                <w:sz w:val="24"/>
                <w:rFonts w:cs="Arial" w:ascii="Arial" w:hAnsi="Arial"/>
              </w:rPr>
              <w:fldChar w:fldCharType="separate"/>
            </w:r>
            <w:r>
              <w:rPr>
                <w:sz w:val="24"/>
                <w:rFonts w:cs="Arial" w:ascii="Arial" w:hAnsi="Arial"/>
              </w:rPr>
              <w:t>September 28, 2025</w:t>
            </w:r>
            <w:r>
              <w:rPr>
                <w:sz w:val="24"/>
                <w:rFonts w:cs="Arial" w:ascii="Arial" w:hAnsi="Arial"/>
              </w:rPr>
              <w:fldChar w:fldCharType="end"/>
            </w:r>
          </w:p>
        </w:tc>
      </w:tr>
      <w:tr>
        <w:trPr/>
        <w:tc>
          <w:tcPr>
            <w:tcW w:w="1278" w:type="dxa"/>
            <w:tcBorders>
              <w:bottom w:val="single" w:sz="6" w:space="0" w:color="000000"/>
            </w:tcBorders>
          </w:tcPr>
          <w:p>
            <w:pPr>
              <w:pStyle w:val="Normal"/>
              <w:spacing w:lineRule="auto" w:line="360"/>
              <w:rPr>
                <w:rFonts w:ascii="Arial" w:hAnsi="Arial" w:cs="Arial"/>
                <w:b/>
                <w:smallCaps/>
                <w:sz w:val="24"/>
              </w:rPr>
            </w:pPr>
            <w:r>
              <w:rPr>
                <w:rFonts w:cs="Arial" w:ascii="Arial" w:hAnsi="Arial"/>
                <w:b/>
                <w:smallCaps/>
                <w:sz w:val="24"/>
              </w:rPr>
              <w:t>RE:</w:t>
            </w:r>
          </w:p>
        </w:tc>
        <w:tc>
          <w:tcPr>
            <w:tcW w:w="7578" w:type="dxa"/>
            <w:tcBorders>
              <w:bottom w:val="single" w:sz="6" w:space="0" w:color="000000"/>
            </w:tcBorders>
          </w:tcPr>
          <w:p>
            <w:pPr>
              <w:pStyle w:val="Normal"/>
              <w:rPr>
                <w:rFonts w:ascii="Arial" w:hAnsi="Arial" w:cs="Arial"/>
                <w:b/>
                <w:i/>
                <w:i/>
                <w:sz w:val="24"/>
              </w:rPr>
            </w:pPr>
            <w:r>
              <w:rPr>
                <w:rFonts w:cs="Arial" w:ascii="Arial" w:hAnsi="Arial"/>
                <w:b/>
                <w:i/>
                <w:sz w:val="24"/>
              </w:rPr>
              <w:t>House Ways and Means Passage of Economic Security Bill</w:t>
            </w:r>
          </w:p>
        </w:tc>
      </w:tr>
    </w:tbl>
    <w:p>
      <w:pPr>
        <w:pStyle w:val="Normal"/>
        <w:rPr>
          <w:rFonts w:ascii="Arial" w:hAnsi="Arial" w:cs="Arial"/>
          <w:sz w:val="24"/>
        </w:rPr>
      </w:pPr>
      <w:r>
        <w:rPr>
          <w:rFonts w:cs="Arial" w:ascii="Arial" w:hAnsi="Arial"/>
          <w:sz w:val="24"/>
        </w:rPr>
      </w:r>
    </w:p>
    <w:p>
      <w:pPr>
        <w:pStyle w:val="Style0"/>
        <w:tabs>
          <w:tab w:val="clear" w:pos="720"/>
          <w:tab w:val="left" w:pos="0" w:leader="none"/>
        </w:tabs>
        <w:spacing w:before="0" w:after="240"/>
        <w:rPr/>
      </w:pPr>
      <w:r>
        <w:rPr/>
        <w:t xml:space="preserve">Today, the House Ways and Means Committee passed out of committee  “The Economic Security and Recovery Act of 2001” by a vote of 23 to 14.  Democrats opposed the plan, saying that it was not written on a bipartisan basis and that the bill is too targeted towards business.  </w:t>
      </w:r>
    </w:p>
    <w:p>
      <w:pPr>
        <w:pStyle w:val="Normal"/>
        <w:tabs>
          <w:tab w:val="clear" w:pos="720"/>
          <w:tab w:val="left" w:pos="0" w:leader="none"/>
        </w:tabs>
        <w:spacing w:before="0" w:after="240"/>
        <w:rPr>
          <w:rFonts w:ascii="Arial" w:hAnsi="Arial" w:cs="Arial"/>
          <w:sz w:val="24"/>
        </w:rPr>
      </w:pPr>
      <w:r>
        <w:rPr>
          <w:rFonts w:cs="Arial" w:ascii="Arial" w:hAnsi="Arial"/>
          <w:sz w:val="24"/>
        </w:rPr>
        <w:t>There are a number of corporate tax provisions in the bill, however the only electricity-specific provision in the bill is an extension of the Section 45 tax credit.  The existing Section 45 tax credit, for wind, closed-loop biomass, or poultry waste, currently applies only to facilities placed in service before January 1, 2002.  This bill would extend that deadline to January 1, 2004.</w:t>
      </w:r>
    </w:p>
    <w:p>
      <w:pPr>
        <w:pStyle w:val="Normal"/>
        <w:tabs>
          <w:tab w:val="clear" w:pos="720"/>
          <w:tab w:val="left" w:pos="0" w:leader="none"/>
        </w:tabs>
        <w:spacing w:before="0" w:after="240"/>
        <w:rPr>
          <w:rFonts w:ascii="Arial" w:hAnsi="Arial" w:cs="Arial"/>
          <w:sz w:val="24"/>
        </w:rPr>
      </w:pPr>
      <w:r>
        <w:rPr>
          <w:rFonts w:cs="Arial" w:ascii="Arial" w:hAnsi="Arial"/>
          <w:sz w:val="24"/>
        </w:rPr>
        <w:t>It’s also worth noting that the special depreciation allowance for qualified property in this bill only applies to property acquired after September 10, 2001 and placed into service before December 31, 2004.  This three year time period is a relatively short one for industries such as ours.</w:t>
      </w:r>
    </w:p>
    <w:p>
      <w:pPr>
        <w:pStyle w:val="Normal"/>
        <w:tabs>
          <w:tab w:val="clear" w:pos="720"/>
          <w:tab w:val="left" w:pos="0" w:leader="none"/>
        </w:tabs>
        <w:rPr>
          <w:rFonts w:ascii="Arial" w:hAnsi="Arial" w:cs="Arial"/>
          <w:sz w:val="24"/>
        </w:rPr>
      </w:pPr>
      <w:r>
        <w:rPr>
          <w:rFonts w:cs="Arial" w:ascii="Arial" w:hAnsi="Arial"/>
          <w:sz w:val="24"/>
        </w:rPr>
        <w:t xml:space="preserve">The bill text can be found at: </w:t>
      </w:r>
      <w:hyperlink r:id="rId3">
        <w:r>
          <w:rPr>
            <w:rStyle w:val="Hyperlink"/>
            <w:rFonts w:cs="Arial" w:ascii="Arial" w:hAnsi="Arial"/>
            <w:sz w:val="24"/>
          </w:rPr>
          <w:t>http://waysandmeans.house.gov/fullcomm/107cong/hr3090/hr3090sub.pdf</w:t>
        </w:r>
      </w:hyperlink>
    </w:p>
    <w:p>
      <w:pPr>
        <w:pStyle w:val="Normal"/>
        <w:tabs>
          <w:tab w:val="clear" w:pos="720"/>
          <w:tab w:val="left" w:pos="0" w:leader="none"/>
        </w:tabs>
        <w:rPr>
          <w:rFonts w:ascii="Arial" w:hAnsi="Arial" w:cs="Arial"/>
          <w:sz w:val="24"/>
        </w:rPr>
      </w:pPr>
      <w:r>
        <w:rPr>
          <w:rFonts w:cs="Arial" w:ascii="Arial" w:hAnsi="Arial"/>
          <w:sz w:val="24"/>
        </w:rPr>
        <w:t>A Joint Committee on Taxation summary and analysis of the bill can be found at:</w:t>
      </w:r>
    </w:p>
    <w:p>
      <w:pPr>
        <w:pStyle w:val="Normal"/>
        <w:tabs>
          <w:tab w:val="clear" w:pos="720"/>
          <w:tab w:val="left" w:pos="0" w:leader="none"/>
        </w:tabs>
        <w:rPr>
          <w:rFonts w:ascii="Arial" w:hAnsi="Arial" w:cs="Arial"/>
          <w:sz w:val="24"/>
        </w:rPr>
      </w:pPr>
      <w:hyperlink r:id="rId4">
        <w:r>
          <w:rPr>
            <w:rStyle w:val="Hyperlink"/>
            <w:rFonts w:cs="Arial" w:ascii="Arial" w:hAnsi="Arial"/>
            <w:sz w:val="24"/>
          </w:rPr>
          <w:t>http://www.house.gov/jct/x-69-01.pdf</w:t>
        </w:r>
      </w:hyperlink>
    </w:p>
    <w:p>
      <w:pPr>
        <w:pStyle w:val="Normal"/>
        <w:tabs>
          <w:tab w:val="clear" w:pos="720"/>
          <w:tab w:val="left" w:pos="0" w:leader="none"/>
        </w:tabs>
        <w:rPr>
          <w:rFonts w:ascii="Arial" w:hAnsi="Arial" w:cs="Arial"/>
          <w:sz w:val="24"/>
        </w:rPr>
      </w:pPr>
      <w:r>
        <w:rPr>
          <w:rFonts w:cs="Arial" w:ascii="Arial" w:hAnsi="Arial"/>
          <w:sz w:val="24"/>
        </w:rPr>
      </w:r>
    </w:p>
    <w:p>
      <w:pPr>
        <w:pStyle w:val="Normal"/>
        <w:tabs>
          <w:tab w:val="clear" w:pos="720"/>
          <w:tab w:val="left" w:pos="0" w:leader="none"/>
        </w:tabs>
        <w:rPr/>
      </w:pPr>
      <w:r>
        <w:rPr>
          <w:rFonts w:cs="Arial" w:ascii="Arial" w:hAnsi="Arial"/>
          <w:sz w:val="24"/>
        </w:rPr>
        <w:t xml:space="preserve">If you have any questions, please contact Andrea Spring (202-628-8200 or </w:t>
      </w:r>
      <w:hyperlink r:id="rId5">
        <w:r>
          <w:rPr>
            <w:rStyle w:val="Hyperlink"/>
            <w:rFonts w:cs="Arial" w:ascii="Arial" w:hAnsi="Arial"/>
            <w:sz w:val="24"/>
          </w:rPr>
          <w:t>aspring@epsa.org</w:t>
        </w:r>
      </w:hyperlink>
      <w:r>
        <w:rPr>
          <w:rFonts w:cs="Arial" w:ascii="Arial" w:hAnsi="Arial"/>
          <w:sz w:val="24"/>
        </w:rPr>
        <w:t>).</w:t>
      </w:r>
    </w:p>
    <w:sectPr>
      <w:footerReference w:type="default" r:id="rId6"/>
      <w:type w:val="nextPage"/>
      <w:pgSz w:w="12240" w:h="15840"/>
      <w:pgMar w:left="1440" w:right="1440"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Zurich BT">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z w:val="24"/>
      <w:szCs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Times New Roman" w:hAnsi="Times New Roman" w:cs="Times New Roman"/>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100" w:after="100"/>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aysandmeans.house.gov/fullcomm/107cong/hr3090/hr3090sub.pdf" TargetMode="External"/><Relationship Id="rId4" Type="http://schemas.openxmlformats.org/officeDocument/2006/relationships/hyperlink" Target="http://www.house.gov/jct/x-69-01.pdf" TargetMode="External"/><Relationship Id="rId5" Type="http://schemas.openxmlformats.org/officeDocument/2006/relationships/hyperlink" Target="../doc/aspring@epsa.org"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EPSA Leg Affairs Memo.dot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2001-10-12T19:40:00Z</dcterms:created>
  <dc:creator>Donn J. Salvosa</dc:creator>
  <dc:description/>
  <dc:language>en-CA</dc:language>
  <cp:lastModifiedBy>EPSA Staff</cp:lastModifiedBy>
  <cp:lastPrinted>2001-10-12T18:36:00Z</cp:lastPrinted>
  <dcterms:modified xsi:type="dcterms:W3CDTF">2001-10-12T20:08:00Z</dcterms:modified>
  <cp:revision>10</cp:revision>
  <dc:subject/>
  <dc:title>						 	1401 H Street, NW</dc:title>
</cp:coreProperties>
</file>