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sz w:val="72"/>
        </w:rPr>
      </w:pPr>
      <w:r>
        <w:rPr>
          <w:sz w:val="72"/>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pPr>
                            <w:r>
                              <w:rPr/>
                              <w:t>Enron North America</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Enron North America</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Don Black</w:t>
      </w:r>
    </w:p>
    <w:p>
      <w:pPr>
        <w:pStyle w:val="MessageHeader"/>
        <w:rPr/>
      </w:pPr>
      <w:r>
        <w:rPr>
          <w:rStyle w:val="MessageHeaderLabel"/>
        </w:rPr>
        <w:t>From:</w:t>
      </w:r>
      <w:r>
        <w:rPr/>
        <w:tab/>
        <w:t>Ben Rogers</w:t>
      </w:r>
    </w:p>
    <w:p>
      <w:pPr>
        <w:pStyle w:val="MessageHeader"/>
        <w:rPr/>
      </w:pPr>
      <w:r>
        <w:rPr>
          <w:rStyle w:val="MessageHeaderLabel"/>
        </w:rPr>
        <w:t>CC:</w:t>
      </w:r>
      <w:r>
        <w:rPr/>
        <w:tab/>
        <w:t>Erin Norris</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Summary PJM Market</w:t>
      </w:r>
    </w:p>
    <w:p>
      <w:pPr>
        <w:pStyle w:val="BodyText"/>
        <w:rPr/>
      </w:pPr>
      <w:r>
        <w:rPr>
          <w:b/>
        </w:rPr>
        <w:t>PJM Market Summary</w:t>
      </w:r>
      <w:r>
        <w:rPr/>
        <w:t xml:space="preserve">: </w:t>
      </w:r>
    </w:p>
    <w:p>
      <w:pPr>
        <w:pStyle w:val="BodyText"/>
        <w:rPr/>
      </w:pPr>
      <w:r>
        <w:rPr/>
        <w:t>PJM is the largest centrally - dispatched electric control area in North America and the third largest in the world. PJM Interconnection became the first operational Independent System Operator in the U.S. on January 1, 1998, managing the PJM Open Access Transmission Tariff and facilitating the PJM Interchange Energy Market.</w:t>
      </w:r>
    </w:p>
    <w:p>
      <w:pPr>
        <w:pStyle w:val="BodyText"/>
        <w:rPr/>
      </w:pPr>
      <w:r>
        <w:rPr/>
        <w:t>PJM's objectives are to ensure reliability of the bulk power transmission system and to facilitate an open, competitive wholesale electric market. Established in 1927, PJM today handles almost 8% of the country's electrical power, with a pooled generating capacity of over 56,000 megawatts. With the implementation of the PJM Open Access Transmission Tariff on April 1, 1997, PJM began operating the nation's first regional, bid-based energy market. PJM has become one of the most liquid and active energy markets in the country. PJM enables participants to buy and sell energy, schedule bilateral transactions and reserve transmission service. PJM provides accounting and billing services for these transactions.</w:t>
      </w:r>
    </w:p>
    <w:p>
      <w:pPr>
        <w:pStyle w:val="BodyText"/>
        <w:rPr/>
      </w:pPr>
      <w:r>
        <w:rPr/>
        <w:t xml:space="preserve">The PJM staff centrally forecasts, schedules and coordinates the operation of generating units, bilateral transactions, and the spot energy market to meet load requirements. To maintain a reliable and secure electric system, PJM monitors, evaluates and coordinates the operation of over 8,000 miles of high-voltage transmission lines. </w:t>
      </w:r>
    </w:p>
    <w:p>
      <w:pPr>
        <w:pStyle w:val="BodyText"/>
        <w:rPr/>
      </w:pPr>
      <w:r>
        <w:rPr/>
        <w:t>Operations are closely coordinated with neighboring control areas, and information is exchanged to enable real-time security assessments of the transmission grid. PJM provides accounting services for energy, ancillary services, transmission services, and capacity reserve obligations.</w:t>
      </w:r>
    </w:p>
    <w:p>
      <w:pPr>
        <w:pStyle w:val="BodyText"/>
        <w:rPr/>
      </w:pPr>
      <w:r>
        <w:rPr/>
        <w:t>PJM uses multiple interconnected computer systems to support operations and planning functions. PJM applies both customized and standard applications solutions to handle the vast amount of information required to support power system operations. These systems are used to study and analyze current operations, trends and future requirements of the area.</w:t>
      </w:r>
    </w:p>
    <w:p>
      <w:pPr>
        <w:pStyle w:val="BodyText"/>
        <w:rPr/>
      </w:pPr>
      <w:r>
        <w:rPr/>
        <w:t>In order to assure system reliability, computer systems continually analyze forecasted and actual system conditions. Computer applications are in place for load forecasting, transmission monitoring, system control, generation scheduling, dispatch, accounting and communications. An extensive voice and data communication network enables continuous communication between the PJM Control Center and local transmission operators and adjacent control areas.</w:t>
      </w:r>
    </w:p>
    <w:p>
      <w:pPr>
        <w:pStyle w:val="BodyText"/>
        <w:rPr>
          <w:b/>
        </w:rPr>
      </w:pPr>
      <w:r>
        <w:rPr>
          <w:b/>
        </w:rPr>
        <w:t>Two Settlement System</w:t>
      </w:r>
      <w:r>
        <w:rPr/>
        <w:t>:</w:t>
      </w:r>
    </w:p>
    <w:p>
      <w:pPr>
        <w:pStyle w:val="BodyText"/>
        <w:rPr/>
      </w:pPr>
      <w:r>
        <w:rPr>
          <w:b/>
        </w:rPr>
        <w:t>Current PJM Market</w:t>
      </w:r>
      <w:r>
        <w:rPr/>
        <w:t>:</w:t>
      </w:r>
    </w:p>
    <w:p>
      <w:pPr>
        <w:pStyle w:val="BodyText"/>
        <w:rPr/>
      </w:pPr>
      <w:r>
        <w:rPr/>
        <w:t xml:space="preserve">The current PJM Market operates on a voluntary bid-based market.  Unit specific bids are for start-up, no-load and energy bids.  Bids must be “locked-in” by noon the day before the trade occurs and the generation may bid or self-schedule.  The system provides central unit commitment and a security constrained dispatch mechanism.  The customers on the network are not required to schedule expected free flowing ties and must bid in designated resources.  For the non-network customers, they must voluntarily schedule expected transmission use and use of spot market.  The system is currently a single settlement system.  The system has built-in hedging mechanisms in place if transmission congestion begins to take place.  The hedging mechanisms may specify whether the transactions are willing to pay for congestion, which in that case the PJM system would curtail bids and transactions may self-curtail with notification.  The system is set up with fixed transmission rights.  </w:t>
      </w:r>
    </w:p>
    <w:p>
      <w:pPr>
        <w:pStyle w:val="BodyText"/>
        <w:rPr/>
      </w:pPr>
      <w:r>
        <w:rPr/>
        <w:t>Market participants are provided with the option to “lock-in” day ahead scheduled quantities at day-ahead prices.  The system provides participants with the opportunity to obtain increased price certainty when making transactions.  System provides financial incentives for resources and demand to submit day-ahead schedules that match their actual schedules.  The system provides resources, demand and transactions to be given the opportunity to obtain increased price certainty.</w:t>
      </w:r>
    </w:p>
    <w:p>
      <w:pPr>
        <w:pStyle w:val="BodyText"/>
        <w:rPr/>
      </w:pPr>
      <w:r>
        <w:rPr>
          <w:b/>
        </w:rPr>
        <w:t>Day Ahead Market</w:t>
      </w:r>
      <w:r>
        <w:rPr/>
        <w:t>:</w:t>
      </w:r>
    </w:p>
    <w:p>
      <w:pPr>
        <w:pStyle w:val="BodyText"/>
        <w:rPr/>
      </w:pPr>
      <w:r>
        <w:rPr/>
        <w:t>The demand for bids may specify a fixed quantity and location.  Price sensitive demand may specify a reservation price above, which it wishes to be curtailed.  PJM capacity resources must submit offers, if available, or may self schedule.  Non-capacity resources may submit offers or may self-schedule bids.  Parties with transactions may submit schedules into the day-ahead market.  Transactions may also specify increment and decrement bids in the day-ahead market.</w:t>
      </w:r>
    </w:p>
    <w:p>
      <w:pPr>
        <w:pStyle w:val="BodyText"/>
        <w:rPr/>
      </w:pPr>
      <w:r>
        <w:rPr/>
        <w:t>Day-ahead settlement is based on day-ahead hourly LMP values.  For each hour of the day-ahead schedule: 1) each scheduled demand pays its LMP for the hour; 2) each scheduled generator is paid its LMP for the hour; and 3) scheduled transactions pay congestion charges based on LMP differences between source and link.</w:t>
      </w:r>
    </w:p>
    <w:p>
      <w:pPr>
        <w:pStyle w:val="BodyText"/>
        <w:rPr/>
      </w:pPr>
      <w:r>
        <w:rPr>
          <w:b/>
        </w:rPr>
        <w:t>Balancing Market</w:t>
      </w:r>
      <w:r>
        <w:rPr/>
        <w:t>: “Real-time” and Settlement</w:t>
      </w:r>
    </w:p>
    <w:p>
      <w:pPr>
        <w:pStyle w:val="BodyText"/>
        <w:rPr/>
      </w:pPr>
      <w:r>
        <w:rPr/>
        <w:t xml:space="preserve">Actual demand is met by security-constrained economic dispatch.  Capacity resources that are not selected in the day-ahead market may bid into real-time market or may self-schedule.  Non-capacity resources may submit bids into real-time market.  Transactions may submit schedules into real-time market.  Balancing settlement is based on real-time LMP values averaged over the hour.  Settlement is performed on quantity deviations from day-ahead scheduled values.  Fixed Transmission Rights do not apply to balancing settlement. </w:t>
      </w:r>
    </w:p>
    <w:p>
      <w:pPr>
        <w:pStyle w:val="BodyText"/>
        <w:rPr/>
      </w:pPr>
      <w:r>
        <w:rPr/>
      </w:r>
    </w:p>
    <w:p>
      <w:pPr>
        <w:pStyle w:val="BodyText"/>
        <w:spacing w:before="0" w:after="220"/>
        <w:rPr>
          <w:rFonts w:eastAsia="Arial"/>
        </w:rPr>
      </w:pPr>
      <w:r>
        <w:rPr>
          <w:rFonts w:eastAsia="Arial"/>
        </w:rPr>
        <w:t xml:space="preserve">  </w:t>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2000-01-26T18:41:00Z</dcterms:created>
  <dc:creator>Ben Rogers</dc:creator>
  <dc:description/>
  <dc:language>en-CA</dc:language>
  <cp:lastModifiedBy>Ben Rogers</cp:lastModifiedBy>
  <cp:lastPrinted>2000-01-31T09:25:00Z</cp:lastPrinted>
  <dcterms:modified xsi:type="dcterms:W3CDTF">2000-01-31T13:25:00Z</dcterms:modified>
  <cp:revision>44</cp:revision>
  <dc:subject/>
  <dc:title>Memo</dc:title>
</cp:coreProperties>
</file>