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r>
        <w:rPr/>
        <w:t>Memorandum</w:t>
      </w:r>
    </w:p>
    <w:p>
      <w:pPr>
        <w:pStyle w:val="MessageHeaderFirst"/>
        <w:rPr/>
      </w:pPr>
      <w:r>
        <w:rPr>
          <w:rStyle w:val="MessageHeaderLabel"/>
          <w:spacing w:val="-20"/>
        </w:rPr>
        <w:t>T</w:t>
      </w:r>
      <w:r>
        <w:rPr>
          <w:rStyle w:val="MessageHeaderLabel"/>
        </w:rPr>
        <w:t>o:</w:t>
      </w:r>
      <w:r>
        <w:rPr/>
        <w:tab/>
        <w:t>Wade Cline</w:t>
      </w:r>
    </w:p>
    <w:p>
      <w:pPr>
        <w:pStyle w:val="MessageHeader"/>
        <w:rPr/>
      </w:pPr>
      <w:r>
        <w:rPr>
          <w:rStyle w:val="MessageHeaderLabel"/>
        </w:rPr>
        <w:t>CC:</w:t>
      </w:r>
      <w:r>
        <w:rPr/>
        <w:tab/>
      </w:r>
    </w:p>
    <w:p>
      <w:pPr>
        <w:pStyle w:val="MessageHeader"/>
        <w:rPr/>
      </w:pPr>
      <w:r>
        <w:rPr>
          <w:rStyle w:val="MessageHeaderLabel"/>
        </w:rPr>
        <w:t>From:</w:t>
      </w:r>
      <w:r>
        <w:rPr/>
        <w:tab/>
        <w:t>Sandeep Kohli</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Dabhol Phase II - Option Analysis for Enron Senior Management</w:t>
      </w:r>
    </w:p>
    <w:p>
      <w:pPr>
        <w:pStyle w:val="Heading1"/>
        <w:rPr/>
      </w:pPr>
      <w:r>
        <w:rPr/>
        <w:t>Introduction</w:t>
      </w:r>
    </w:p>
    <w:p>
      <w:pPr>
        <w:pStyle w:val="BodyText"/>
        <w:rPr/>
      </w:pPr>
      <w:r>
        <w:rPr/>
      </w:r>
    </w:p>
    <w:p>
      <w:pPr>
        <w:pStyle w:val="BodyText"/>
        <w:rPr/>
      </w:pPr>
      <w:r>
        <w:rPr/>
        <w:t>Dabhol Phase II, already 80% complete, is scheduled for commissioning at the end of 2001.  In early 2002, the LNG facility will be complete, facilitating the conversion of the entire project to gas.  When completed, this project will bring on-line an additional 1,440 MW of capacity, nearly tripling the already operational 730 MW of Phase I.  This addition will come in two blocks, called Blocks B and C, Block A being the one currently under operation.</w:t>
      </w:r>
    </w:p>
    <w:p>
      <w:pPr>
        <w:pStyle w:val="BodyText"/>
        <w:rPr/>
      </w:pPr>
      <w:r>
        <w:rPr/>
        <w:t xml:space="preserve">As Blocks B and C of Dabhol are commissioned, the corresponding monthly receivables from MSEB will ratchet up as shown in Table I below. MSEB’s monthly collections range from $165 to 200 Million.  Currently for Block A, with high naphtha prices and low despatch, the DPC bill corresponds to roughly 19% of MSEB’s cash outflow, for about 5% of the system capacity.  </w:t>
      </w:r>
    </w:p>
    <w:p>
      <w:pPr>
        <w:pStyle w:val="BodyText"/>
        <w:jc w:val="center"/>
        <w:rPr/>
      </w:pPr>
      <w:r>
        <w:rPr>
          <w:b/>
          <w:u w:val="single"/>
        </w:rPr>
        <w:t>Table I</w:t>
      </w:r>
      <w:r>
        <w:rPr/>
        <w:t>:  DPC’s Expected Monthly Bill to MSEB</w:t>
      </w:r>
    </w:p>
    <w:tbl>
      <w:tblPr>
        <w:tblW w:w="7506" w:type="dxa"/>
        <w:jc w:val="start"/>
        <w:tblInd w:w="1188" w:type="dxa"/>
        <w:tblLayout w:type="fixed"/>
        <w:tblCellMar>
          <w:top w:w="0" w:type="dxa"/>
          <w:start w:w="108" w:type="dxa"/>
          <w:bottom w:w="0" w:type="dxa"/>
          <w:end w:w="108" w:type="dxa"/>
        </w:tblCellMar>
      </w:tblPr>
      <w:tblGrid>
        <w:gridCol w:w="1476"/>
        <w:gridCol w:w="1602"/>
        <w:gridCol w:w="1602"/>
        <w:gridCol w:w="1350"/>
        <w:gridCol w:w="1476"/>
      </w:tblGrid>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BodyText"/>
              <w:snapToGrid w:val="false"/>
              <w:spacing w:before="0" w:after="220"/>
              <w:ind w:start="0" w:end="-360"/>
              <w:jc w:val="center"/>
              <w:rPr/>
            </w:pPr>
            <w:r>
              <w:rPr/>
            </w:r>
          </w:p>
        </w:tc>
        <w:tc>
          <w:tcPr>
            <w:tcW w:w="1602" w:type="dxa"/>
            <w:tcBorders>
              <w:top w:val="single" w:sz="4" w:space="0" w:color="000000"/>
              <w:start w:val="single" w:sz="4" w:space="0" w:color="000000"/>
              <w:bottom w:val="single" w:sz="4" w:space="0" w:color="000000"/>
              <w:end w:val="single" w:sz="4" w:space="0" w:color="000000"/>
            </w:tcBorders>
            <w:vAlign w:val="center"/>
          </w:tcPr>
          <w:p>
            <w:pPr>
              <w:pStyle w:val="BodyText"/>
              <w:spacing w:before="0" w:after="220"/>
              <w:ind w:start="0" w:end="-360"/>
              <w:rPr>
                <w:b/>
                <w:sz w:val="18"/>
              </w:rPr>
            </w:pPr>
            <w:r>
              <w:rPr>
                <w:b/>
                <w:sz w:val="18"/>
              </w:rPr>
              <w:t>Expected Start</w:t>
              <w:br/>
              <w:t>of Block</w:t>
            </w:r>
          </w:p>
        </w:tc>
        <w:tc>
          <w:tcPr>
            <w:tcW w:w="1602" w:type="dxa"/>
            <w:tcBorders>
              <w:top w:val="single" w:sz="4" w:space="0" w:color="000000"/>
              <w:start w:val="single" w:sz="4" w:space="0" w:color="000000"/>
              <w:bottom w:val="single" w:sz="4" w:space="0" w:color="000000"/>
              <w:end w:val="single" w:sz="4" w:space="0" w:color="000000"/>
            </w:tcBorders>
            <w:vAlign w:val="center"/>
          </w:tcPr>
          <w:p>
            <w:pPr>
              <w:pStyle w:val="BodyText"/>
              <w:spacing w:before="0" w:after="220"/>
              <w:ind w:start="0" w:end="-360"/>
              <w:jc w:val="center"/>
              <w:rPr>
                <w:b/>
                <w:sz w:val="18"/>
              </w:rPr>
            </w:pPr>
            <w:r>
              <w:rPr>
                <w:b/>
                <w:sz w:val="18"/>
              </w:rPr>
              <w:t xml:space="preserve">Fixed </w:t>
              <w:br/>
              <w:t>Component</w:t>
              <w:br/>
              <w:t>$ MM</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BodyText"/>
              <w:spacing w:before="0" w:after="220"/>
              <w:ind w:start="0" w:end="-360"/>
              <w:jc w:val="center"/>
              <w:rPr>
                <w:b/>
                <w:sz w:val="18"/>
              </w:rPr>
            </w:pPr>
            <w:r>
              <w:rPr>
                <w:b/>
                <w:sz w:val="18"/>
              </w:rPr>
              <w:t>Variable Component</w:t>
              <w:br/>
              <w:t>$ MM</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BodyText"/>
              <w:spacing w:before="0" w:after="220"/>
              <w:ind w:start="0" w:end="-360"/>
              <w:jc w:val="center"/>
              <w:rPr>
                <w:b/>
                <w:sz w:val="18"/>
              </w:rPr>
            </w:pPr>
            <w:r>
              <w:rPr>
                <w:b/>
                <w:sz w:val="18"/>
              </w:rPr>
              <w:t xml:space="preserve">Total </w:t>
              <w:br/>
              <w:t>Monthly Bill</w:t>
              <w:br/>
              <w:t>$ MM</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Block A</w:t>
            </w:r>
          </w:p>
        </w:tc>
        <w:tc>
          <w:tcPr>
            <w:tcW w:w="160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May ‘99</w:t>
            </w:r>
          </w:p>
        </w:tc>
        <w:tc>
          <w:tcPr>
            <w:tcW w:w="160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pPr>
            <w:r>
              <w:rPr/>
              <w:t>20</w:t>
            </w:r>
          </w:p>
        </w:tc>
        <w:tc>
          <w:tcPr>
            <w:tcW w:w="135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pPr>
            <w:r>
              <w:rPr/>
              <w:t>17-26</w:t>
            </w:r>
          </w:p>
        </w:tc>
        <w:tc>
          <w:tcPr>
            <w:tcW w:w="1476"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37-45</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Block A + B</w:t>
            </w:r>
          </w:p>
        </w:tc>
        <w:tc>
          <w:tcPr>
            <w:tcW w:w="160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August ‘01</w:t>
            </w:r>
          </w:p>
        </w:tc>
        <w:tc>
          <w:tcPr>
            <w:tcW w:w="160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pPr>
            <w:r>
              <w:rPr/>
              <w:t>42</w:t>
            </w:r>
          </w:p>
        </w:tc>
        <w:tc>
          <w:tcPr>
            <w:tcW w:w="135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pPr>
            <w:r>
              <w:rPr/>
              <w:t>34-51</w:t>
            </w:r>
          </w:p>
        </w:tc>
        <w:tc>
          <w:tcPr>
            <w:tcW w:w="1476"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76-93</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Blocks A+B+C</w:t>
            </w:r>
          </w:p>
        </w:tc>
        <w:tc>
          <w:tcPr>
            <w:tcW w:w="160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December ‘01</w:t>
            </w:r>
          </w:p>
        </w:tc>
        <w:tc>
          <w:tcPr>
            <w:tcW w:w="160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pPr>
            <w:r>
              <w:rPr/>
              <w:t>50</w:t>
            </w:r>
          </w:p>
        </w:tc>
        <w:tc>
          <w:tcPr>
            <w:tcW w:w="135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pPr>
            <w:r>
              <w:rPr/>
              <w:t>37-48</w:t>
            </w:r>
          </w:p>
        </w:tc>
        <w:tc>
          <w:tcPr>
            <w:tcW w:w="1476"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87-98</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After LNG Start</w:t>
            </w:r>
          </w:p>
        </w:tc>
        <w:tc>
          <w:tcPr>
            <w:tcW w:w="160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February ‘02</w:t>
            </w:r>
          </w:p>
        </w:tc>
        <w:tc>
          <w:tcPr>
            <w:tcW w:w="160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pPr>
            <w:r>
              <w:rPr/>
              <w:t>93*</w:t>
            </w:r>
          </w:p>
        </w:tc>
        <w:tc>
          <w:tcPr>
            <w:tcW w:w="135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pPr>
            <w:r>
              <w:rPr/>
              <w:t>0</w:t>
            </w:r>
          </w:p>
        </w:tc>
        <w:tc>
          <w:tcPr>
            <w:tcW w:w="1476"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93</w:t>
            </w:r>
          </w:p>
        </w:tc>
      </w:tr>
    </w:tbl>
    <w:p>
      <w:pPr>
        <w:pStyle w:val="Closing"/>
        <w:spacing w:lineRule="auto" w:line="240"/>
        <w:rPr>
          <w:sz w:val="18"/>
        </w:rPr>
      </w:pPr>
      <w:r>
        <w:rPr>
          <w:sz w:val="18"/>
        </w:rPr>
        <w:t>* Assuming 70% PLF; the minimum allowed in first year of operation without incurring t-o-p on LNG.</w:t>
      </w:r>
    </w:p>
    <w:p>
      <w:pPr>
        <w:pStyle w:val="Closing"/>
        <w:spacing w:lineRule="auto" w:line="240"/>
        <w:rPr>
          <w:b/>
        </w:rPr>
      </w:pPr>
      <w:r>
        <w:rPr>
          <w:b/>
        </w:rPr>
        <w:br/>
        <w:t>Maharashtra State Electricity Board (MSEB)</w:t>
        <w:br/>
      </w:r>
    </w:p>
    <w:p>
      <w:pPr>
        <w:pStyle w:val="BodyText"/>
        <w:rPr/>
      </w:pPr>
      <w:r>
        <w:rPr/>
        <w:t xml:space="preserve">MSEB’s monthly collections range from $165 to 200 Million.  MSEB’s ability to pay is constrained for mainly two reasons.  First, about 30% of the power generated is either stolen or lost during transmission. Secondly, the end-user tariffs are skewed with agricultural consumers paying about </w:t>
        <w:br/>
        <w:t>1 cent/kWh while industrial HT and commercial consumers pay 9-10 cents/kWh.  This tariff structure provides an incentive for consumers to categorize themselves, wrongly, as agricultural consumers.  It also pushes the utility to resort to widespread load shedding in deemed agricultural areas since the tariff is lower than the variable cost being incurred by the utility.</w:t>
      </w:r>
    </w:p>
    <w:p>
      <w:pPr>
        <w:pStyle w:val="BodyText"/>
        <w:rPr/>
      </w:pPr>
      <w:r>
        <w:rPr/>
        <w:t xml:space="preserve">Hence, you see high price elasticity of demand, and therefore a lot of uncertainty on despatch levels.  Key parameters on the MSEB system load curves are given in Table II below.  </w:t>
      </w:r>
    </w:p>
    <w:p>
      <w:pPr>
        <w:pStyle w:val="BodyText"/>
        <w:jc w:val="center"/>
        <w:rPr/>
      </w:pPr>
      <w:r>
        <w:rPr>
          <w:b/>
          <w:u w:val="single"/>
        </w:rPr>
        <w:t>Table II</w:t>
      </w:r>
      <w:r>
        <w:rPr/>
        <w:t>:  MSEB System Curve Parameters</w:t>
      </w:r>
    </w:p>
    <w:tbl>
      <w:tblPr>
        <w:tblW w:w="4785" w:type="dxa"/>
        <w:jc w:val="start"/>
        <w:tblInd w:w="2538" w:type="dxa"/>
        <w:tblLayout w:type="fixed"/>
        <w:tblCellMar>
          <w:top w:w="0" w:type="dxa"/>
          <w:start w:w="108" w:type="dxa"/>
          <w:bottom w:w="0" w:type="dxa"/>
          <w:end w:w="108" w:type="dxa"/>
        </w:tblCellMar>
      </w:tblPr>
      <w:tblGrid>
        <w:gridCol w:w="2628"/>
        <w:gridCol w:w="892"/>
        <w:gridCol w:w="1265"/>
      </w:tblGrid>
      <w:tr>
        <w:trPr/>
        <w:tc>
          <w:tcPr>
            <w:tcW w:w="262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start="0" w:end="-360"/>
              <w:rPr/>
            </w:pPr>
            <w:r>
              <w:rPr/>
            </w:r>
          </w:p>
        </w:tc>
        <w:tc>
          <w:tcPr>
            <w:tcW w:w="89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1999</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2000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Peak Demand (MW)</w:t>
            </w:r>
          </w:p>
        </w:tc>
        <w:tc>
          <w:tcPr>
            <w:tcW w:w="89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10,800</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12,400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Off-Peak Demand (MW)</w:t>
            </w:r>
          </w:p>
        </w:tc>
        <w:tc>
          <w:tcPr>
            <w:tcW w:w="89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8,180</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8,489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 xml:space="preserve">Total System Mus </w:t>
            </w:r>
          </w:p>
        </w:tc>
        <w:tc>
          <w:tcPr>
            <w:tcW w:w="892"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71,494</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74,075</w:t>
            </w:r>
          </w:p>
        </w:tc>
      </w:tr>
    </w:tbl>
    <w:p>
      <w:pPr>
        <w:pStyle w:val="BodyText"/>
        <w:rPr/>
      </w:pPr>
      <w:r>
        <w:rPr/>
      </w:r>
    </w:p>
    <w:p>
      <w:pPr>
        <w:pStyle w:val="BodyText"/>
        <w:rPr/>
      </w:pPr>
      <w:r>
        <w:rPr/>
        <w:t>In 1999, MSEB generated and purchased 57,354 MUs of power, but billed only 38,995 MUs to customers (68%).  These “lost” MWh are classified as T&amp;D losses and towards un-metered customers who pay a flat monthly bill.  At an average realization of 5 cents/kWh, this accounts for a loss of about $ 25 MM/month.  In all MSEB has past arrears of about $ 1.1 Billion.  MSEB’s average production costs per unit in 1999 was 4.3 cents/kWh.  After the inclusion of Dabhol Phase I, the average cost escalated to 4.68 cents/kWh, an increase of 9%.</w:t>
      </w:r>
    </w:p>
    <w:p>
      <w:pPr>
        <w:pStyle w:val="BodyText"/>
        <w:rPr/>
      </w:pPr>
      <w:r>
        <w:rPr/>
        <w:t xml:space="preserve">Once Phase II comes on line, MSEB’s average cost of generation will increase significantly as a result of t-o-p liabilities .  In order to accommodate this, MSEB must have a rate increase of about 30% across the board.  This is very unlikely to occur.  Additionally, MSEB must promote growth in the paying categories of customers.  This means providing more connections to industrial consumers, and restricting power theft and mis-categorization. </w:t>
      </w:r>
    </w:p>
    <w:p>
      <w:pPr>
        <w:pStyle w:val="BodyText"/>
        <w:rPr/>
      </w:pPr>
      <w:r>
        <w:rPr/>
        <w:t xml:space="preserve">The Maharashtra Electricity Regulatory Commission (MERC), was set up in 1999, and in their first MSEB Rate Case, MERC agreed to only a 7% increase in revenues, as against and increase of about 19% that MSEB had asked for.  Hence the discrepancy in revenue flows expected and obtained by MSEB in the 2000 rate case was $ 255 Million (or monthly discrepancy of $ 21 Million).  MERC also restricted the amount of power to be purchased from DPC to 3,044 MUs (since DPC is the marginal plant in the grid). This corresponds to about 48% plant utilization in the year 2000.  </w:t>
      </w:r>
    </w:p>
    <w:p>
      <w:pPr>
        <w:pStyle w:val="BodyText"/>
        <w:rPr/>
      </w:pPr>
      <w:r>
        <w:rPr/>
        <w:t xml:space="preserve">Separately, the increase in tariff allowed by MERC was in those categories wherein an actual implementation of the award was difficult, e.g. increase in the powerloom sector tariff.  MERC placed a much greater emphasis on the reducing theft and increasing efficiency for meeting revenue requirements – an area where progress is likely to be slow.  Table III tabulates the end-user tariff by customer category.  It is clear from the table that only the commercial and industrial sectors will be paying a tariff higher than the MSEB cost of generation.  </w:t>
      </w:r>
      <w:r>
        <w:br w:type="page"/>
      </w:r>
    </w:p>
    <w:p>
      <w:pPr>
        <w:pStyle w:val="BodyText"/>
        <w:rPr/>
      </w:pPr>
      <w:r>
        <w:rPr/>
      </w:r>
    </w:p>
    <w:p>
      <w:pPr>
        <w:pStyle w:val="BodyText"/>
        <w:jc w:val="center"/>
        <w:rPr/>
      </w:pPr>
      <w:r>
        <w:rPr>
          <w:b/>
          <w:u w:val="single"/>
        </w:rPr>
        <w:t>Table III</w:t>
      </w:r>
      <w:r>
        <w:rPr/>
        <w:t>:  MSEB Tariff (cents/kWh) &amp; Percentage Consumption by Customer Class</w:t>
      </w:r>
    </w:p>
    <w:tbl>
      <w:tblPr>
        <w:tblW w:w="8855" w:type="dxa"/>
        <w:jc w:val="start"/>
        <w:tblInd w:w="0" w:type="dxa"/>
        <w:tblLayout w:type="fixed"/>
        <w:tblCellMar>
          <w:top w:w="0" w:type="dxa"/>
          <w:start w:w="108" w:type="dxa"/>
          <w:bottom w:w="0" w:type="dxa"/>
          <w:end w:w="108" w:type="dxa"/>
        </w:tblCellMar>
      </w:tblPr>
      <w:tblGrid>
        <w:gridCol w:w="1548"/>
        <w:gridCol w:w="1080"/>
        <w:gridCol w:w="1167"/>
        <w:gridCol w:w="3"/>
        <w:gridCol w:w="1260"/>
        <w:gridCol w:w="2"/>
        <w:gridCol w:w="1258"/>
        <w:gridCol w:w="7"/>
        <w:gridCol w:w="1253"/>
        <w:gridCol w:w="12"/>
        <w:gridCol w:w="1248"/>
        <w:gridCol w:w="17"/>
      </w:tblGrid>
      <w:tr>
        <w:trPr/>
        <w:tc>
          <w:tcPr>
            <w:tcW w:w="154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20"/>
              <w:ind w:start="0" w:end="-360"/>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1999</w:t>
            </w:r>
          </w:p>
        </w:tc>
        <w:tc>
          <w:tcPr>
            <w:tcW w:w="116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2000</w:t>
            </w:r>
          </w:p>
        </w:tc>
        <w:tc>
          <w:tcPr>
            <w:tcW w:w="1265"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2001*</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2002*</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2003*</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center"/>
              <w:rPr>
                <w:b/>
              </w:rPr>
            </w:pPr>
            <w:r>
              <w:rPr>
                <w:b/>
              </w:rPr>
              <w:t>2004*</w:t>
            </w:r>
          </w:p>
        </w:tc>
      </w:tr>
      <w:tr>
        <w:trPr/>
        <w:tc>
          <w:tcPr>
            <w:tcW w:w="1548"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Agriculture (LT)</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1.16 (25%)</w:t>
            </w:r>
          </w:p>
        </w:tc>
        <w:tc>
          <w:tcPr>
            <w:tcW w:w="116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1.83</w:t>
            </w:r>
          </w:p>
        </w:tc>
        <w:tc>
          <w:tcPr>
            <w:tcW w:w="1265"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1.68</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1.60</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1.58</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1.53</w:t>
            </w:r>
          </w:p>
        </w:tc>
      </w:tr>
      <w:tr>
        <w:trPr/>
        <w:tc>
          <w:tcPr>
            <w:tcW w:w="1548"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Agriculture (HT)</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1.40 (2%)</w:t>
            </w:r>
          </w:p>
        </w:tc>
        <w:tc>
          <w:tcPr>
            <w:tcW w:w="116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1.30</w:t>
            </w:r>
          </w:p>
        </w:tc>
        <w:tc>
          <w:tcPr>
            <w:tcW w:w="1265"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1.20</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1.14</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1.13</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1.09</w:t>
            </w:r>
          </w:p>
        </w:tc>
      </w:tr>
      <w:tr>
        <w:trPr/>
        <w:tc>
          <w:tcPr>
            <w:tcW w:w="1548"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Residential</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4.19 (17%)</w:t>
            </w:r>
          </w:p>
        </w:tc>
        <w:tc>
          <w:tcPr>
            <w:tcW w:w="116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5.39</w:t>
            </w:r>
          </w:p>
        </w:tc>
        <w:tc>
          <w:tcPr>
            <w:tcW w:w="1265"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5.22</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5.22</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5.42</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5.59</w:t>
            </w:r>
          </w:p>
        </w:tc>
      </w:tr>
      <w:tr>
        <w:trPr/>
        <w:tc>
          <w:tcPr>
            <w:tcW w:w="1548"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Commercial</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10.42 (4%)</w:t>
            </w:r>
          </w:p>
        </w:tc>
        <w:tc>
          <w:tcPr>
            <w:tcW w:w="116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9.93</w:t>
            </w:r>
          </w:p>
        </w:tc>
        <w:tc>
          <w:tcPr>
            <w:tcW w:w="1265"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9.40</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9.22</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9.42</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9.35</w:t>
            </w:r>
          </w:p>
        </w:tc>
      </w:tr>
      <w:tr>
        <w:trPr/>
        <w:tc>
          <w:tcPr>
            <w:tcW w:w="1548"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Industrial LT</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4.56 (9%)</w:t>
            </w:r>
          </w:p>
        </w:tc>
        <w:tc>
          <w:tcPr>
            <w:tcW w:w="1170"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7.33</w:t>
            </w:r>
          </w:p>
        </w:tc>
        <w:tc>
          <w:tcPr>
            <w:tcW w:w="126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6.88</w:t>
            </w:r>
          </w:p>
        </w:tc>
        <w:tc>
          <w:tcPr>
            <w:tcW w:w="1260"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6.69</w:t>
            </w:r>
          </w:p>
        </w:tc>
        <w:tc>
          <w:tcPr>
            <w:tcW w:w="1260"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6.75</w:t>
            </w:r>
          </w:p>
        </w:tc>
        <w:tc>
          <w:tcPr>
            <w:tcW w:w="1260"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6.64</w:t>
            </w:r>
          </w:p>
        </w:tc>
      </w:tr>
      <w:tr>
        <w:trPr/>
        <w:tc>
          <w:tcPr>
            <w:tcW w:w="1548"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 xml:space="preserve">Industrial HT </w:t>
            </w:r>
          </w:p>
        </w:tc>
        <w:tc>
          <w:tcPr>
            <w:tcW w:w="108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9.16 (38%)</w:t>
            </w:r>
          </w:p>
        </w:tc>
        <w:tc>
          <w:tcPr>
            <w:tcW w:w="116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9.17</w:t>
            </w:r>
          </w:p>
        </w:tc>
        <w:tc>
          <w:tcPr>
            <w:tcW w:w="1265" w:type="dxa"/>
            <w:gridSpan w:val="3"/>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8.52</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8.19</w:t>
            </w:r>
          </w:p>
        </w:tc>
        <w:tc>
          <w:tcPr>
            <w:tcW w:w="1265"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8.21</w:t>
            </w:r>
          </w:p>
        </w:tc>
        <w:tc>
          <w:tcPr>
            <w:tcW w:w="1265"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7.98</w:t>
            </w:r>
          </w:p>
        </w:tc>
      </w:tr>
    </w:tbl>
    <w:p>
      <w:pPr>
        <w:pStyle w:val="BodyText"/>
        <w:rPr>
          <w:sz w:val="18"/>
        </w:rPr>
      </w:pPr>
      <w:r>
        <w:rPr>
          <w:sz w:val="18"/>
        </w:rPr>
        <w:t>*Based on assumptions of tariff increase by MERC.  Rs.-$ exchange rate ranges from 45 to 55 Rs./$</w:t>
      </w:r>
    </w:p>
    <w:p>
      <w:pPr>
        <w:pStyle w:val="BodyText"/>
        <w:rPr>
          <w:b/>
        </w:rPr>
      </w:pPr>
      <w:r>
        <w:rPr>
          <w:b/>
        </w:rPr>
        <w:t>Year 2002 and Payment Capability</w:t>
      </w:r>
    </w:p>
    <w:p>
      <w:pPr>
        <w:pStyle w:val="BodyText"/>
        <w:rPr/>
      </w:pPr>
      <w:r>
        <w:rPr/>
        <w:t>MSEB’s current collections are a maximum of $200 Million.  Even if we were to assume an increase in Rupee terms from the consumers by the time we approach 2002, Rupee devaluation will mean that in dollar terms this number is not likely to be enhanced.  DPC is currently having problems collecting a bill that is about 19% of the MSEB collections ($38 Million).  Table IV shows an optimistic and a base case scenario on possible payment capability of MSEB in 2002.  Total monthly fixed charges are expected to be $ 62 Million. It is clear from the table that any payment shortfalls will be towards fixed charges, since the LNG supplier is ahead in the waterfall to DPC.</w:t>
      </w:r>
    </w:p>
    <w:p>
      <w:pPr>
        <w:pStyle w:val="BodyText"/>
        <w:jc w:val="center"/>
        <w:rPr/>
      </w:pPr>
      <w:r>
        <w:rPr>
          <w:b/>
          <w:u w:val="single"/>
        </w:rPr>
        <w:t>Table IV:</w:t>
      </w:r>
      <w:r>
        <w:rPr>
          <w:b/>
        </w:rPr>
        <w:t xml:space="preserve">  Monthly Bill Payment Situation in 2002 (With LNG)</w:t>
      </w:r>
    </w:p>
    <w:tbl>
      <w:tblPr>
        <w:tblW w:w="8658" w:type="dxa"/>
        <w:jc w:val="start"/>
        <w:tblInd w:w="468" w:type="dxa"/>
        <w:tblLayout w:type="fixed"/>
        <w:tblCellMar>
          <w:top w:w="0" w:type="dxa"/>
          <w:start w:w="108" w:type="dxa"/>
          <w:bottom w:w="0" w:type="dxa"/>
          <w:end w:w="108" w:type="dxa"/>
        </w:tblCellMar>
      </w:tblPr>
      <w:tblGrid>
        <w:gridCol w:w="1771"/>
        <w:gridCol w:w="1397"/>
        <w:gridCol w:w="1350"/>
        <w:gridCol w:w="1440"/>
        <w:gridCol w:w="1260"/>
        <w:gridCol w:w="1440"/>
      </w:tblGrid>
      <w:tr>
        <w:trPr/>
        <w:tc>
          <w:tcPr>
            <w:tcW w:w="1771"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b/>
              </w:rPr>
            </w:pPr>
            <w:r>
              <w:rPr>
                <w:b/>
              </w:rPr>
              <w:t>Scenarios</w:t>
            </w:r>
          </w:p>
        </w:tc>
        <w:tc>
          <w:tcPr>
            <w:tcW w:w="139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b/>
              </w:rPr>
            </w:pPr>
            <w:r>
              <w:rPr>
                <w:b/>
              </w:rPr>
              <w:t xml:space="preserve">MSEB </w:t>
              <w:br/>
              <w:t>Collection</w:t>
              <w:br/>
              <w:t>($ MM/Month)</w:t>
            </w:r>
          </w:p>
        </w:tc>
        <w:tc>
          <w:tcPr>
            <w:tcW w:w="135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b/>
              </w:rPr>
            </w:pPr>
            <w:r>
              <w:rPr>
                <w:b/>
              </w:rPr>
              <w:t xml:space="preserve">Amount to </w:t>
              <w:br/>
              <w:t>DPC ($MM/Month)</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b/>
              </w:rPr>
            </w:pPr>
            <w:r>
              <w:rPr>
                <w:b/>
              </w:rPr>
              <w:t xml:space="preserve">DPC Payment </w:t>
              <w:br/>
              <w:t>as Percentage</w:t>
              <w:br/>
              <w:t>of Collections</w:t>
            </w:r>
          </w:p>
        </w:tc>
        <w:tc>
          <w:tcPr>
            <w:tcW w:w="126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b/>
              </w:rPr>
            </w:pPr>
            <w:r>
              <w:rPr>
                <w:b/>
              </w:rPr>
              <w:t>Unrecovered</w:t>
              <w:br/>
              <w:t>t-o-p</w:t>
              <w:br/>
              <w:t>($ MM)</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b/>
              </w:rPr>
            </w:pPr>
            <w:r>
              <w:rPr>
                <w:b/>
              </w:rPr>
              <w:t xml:space="preserve">Unrecovered Fixed </w:t>
              <w:br/>
              <w:t>Payment</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both"/>
              <w:rPr/>
            </w:pPr>
            <w:r>
              <w:rPr/>
              <w:t>Base Case</w:t>
            </w:r>
          </w:p>
        </w:tc>
        <w:tc>
          <w:tcPr>
            <w:tcW w:w="139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$ 200 MM</w:t>
            </w:r>
          </w:p>
        </w:tc>
        <w:tc>
          <w:tcPr>
            <w:tcW w:w="135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$38 MM</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19%</w:t>
            </w:r>
          </w:p>
        </w:tc>
        <w:tc>
          <w:tcPr>
            <w:tcW w:w="126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0</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$ 55 MM</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both"/>
              <w:rPr/>
            </w:pPr>
            <w:r>
              <w:rPr/>
              <w:t>Optimistic Scenario</w:t>
            </w:r>
          </w:p>
        </w:tc>
        <w:tc>
          <w:tcPr>
            <w:tcW w:w="139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$ 210 MM</w:t>
            </w:r>
          </w:p>
        </w:tc>
        <w:tc>
          <w:tcPr>
            <w:tcW w:w="135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$63 MM</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30%</w:t>
            </w:r>
          </w:p>
        </w:tc>
        <w:tc>
          <w:tcPr>
            <w:tcW w:w="126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0</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$ 30 MM</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jc w:val="both"/>
              <w:rPr/>
            </w:pPr>
            <w:r>
              <w:rPr/>
              <w:t>Pessimistic Scenario</w:t>
            </w:r>
          </w:p>
        </w:tc>
        <w:tc>
          <w:tcPr>
            <w:tcW w:w="1397"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$ 190 MM</w:t>
            </w:r>
          </w:p>
        </w:tc>
        <w:tc>
          <w:tcPr>
            <w:tcW w:w="135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$29 MM</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15%</w:t>
            </w:r>
          </w:p>
        </w:tc>
        <w:tc>
          <w:tcPr>
            <w:tcW w:w="126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$ 2 MM</w:t>
            </w:r>
          </w:p>
        </w:tc>
        <w:tc>
          <w:tcPr>
            <w:tcW w:w="1440" w:type="dxa"/>
            <w:tcBorders>
              <w:top w:val="single" w:sz="4" w:space="0" w:color="000000"/>
              <w:start w:val="single" w:sz="4" w:space="0" w:color="000000"/>
              <w:bottom w:val="single" w:sz="4" w:space="0" w:color="000000"/>
              <w:end w:val="single" w:sz="4" w:space="0" w:color="000000"/>
            </w:tcBorders>
          </w:tcPr>
          <w:p>
            <w:pPr>
              <w:pStyle w:val="BodyText"/>
              <w:spacing w:before="0" w:after="220"/>
              <w:ind w:start="0" w:end="-360"/>
              <w:rPr/>
            </w:pPr>
            <w:r>
              <w:rPr/>
              <w:t>$ 62 MM</w:t>
            </w:r>
          </w:p>
        </w:tc>
      </w:tr>
    </w:tbl>
    <w:p>
      <w:pPr>
        <w:pStyle w:val="BodyText"/>
        <w:rPr/>
      </w:pPr>
      <w:r>
        <w:rPr/>
        <w:t>DPC’s average power price (using naphtha) is about 8.6 cents/kWh at 90% despatch of the plant.  Once the plant converts to LNG, the unit price at 90% despatch will be 7.37 cents/kWh (in 2002). However, if we restrict the volume of LNG to the minimal required without incurring t-o-p, then the unit rate will be 8.26 cents/kWh (assuming 52.5 Rs./$).  This is broken into energy and capacity charge as shown below:</w:t>
      </w:r>
    </w:p>
    <w:p>
      <w:pPr>
        <w:pStyle w:val="BodyText"/>
        <w:rPr/>
      </w:pPr>
      <w:r>
        <w:rPr/>
        <w:t>LNG T-o-p Charge</w:t>
        <w:tab/>
        <w:tab/>
        <w:t>2.63 cents/kWh</w:t>
        <w:br/>
        <w:t>Regas Shipping &amp; Harbor Svs.</w:t>
        <w:tab/>
        <w:t>1.11 cents/kWh</w:t>
        <w:br/>
      </w:r>
      <w:r>
        <w:rPr>
          <w:u w:val="single"/>
        </w:rPr>
        <w:t>Capacity Charge</w:t>
        <w:tab/>
        <w:tab/>
        <w:t>4.51 cents/kWh</w:t>
      </w:r>
      <w:r>
        <w:rPr/>
        <w:br/>
      </w:r>
      <w:r>
        <w:rPr>
          <w:u w:val="single"/>
        </w:rPr>
        <w:t>Total Charge</w:t>
        <w:tab/>
        <w:tab/>
        <w:tab/>
        <w:t>8.26 cents/kWh</w:t>
      </w:r>
    </w:p>
    <w:p>
      <w:pPr>
        <w:pStyle w:val="BodyText"/>
        <w:rPr/>
      </w:pPr>
      <w:r>
        <w:rPr/>
        <w:t>Hence, in order to enhance MSEB’s payment capability, DPC must try to sell some power to third parties.  The market clearing price for the same is around 5.6 cents/kWh.  This means that for every unit sold, after accounting for LNG t-o-p, the balance (2.99 cents/kWh) would go towards capacity and regas charges.  This is therefore a discount of 47 % to the fixed charge under the PPA.  However, it is important that in 2002, we do not expect to consume the full amount of LNG t-o-p.  Hence, any sale to third party will mean a greater utilization of the contracted LNG, without ay additional volumes having to be contracted.</w:t>
      </w:r>
    </w:p>
    <w:p>
      <w:pPr>
        <w:pStyle w:val="BodyText"/>
        <w:rPr/>
      </w:pPr>
      <w:r>
        <w:rPr/>
        <w:t>This discount also indicates a benchmark against which the sale price of LNG to other parties have to be measured, since the recovery of fixed costs at Dabhol is more likely with LNG being consumed at Dabhol.</w:t>
      </w:r>
    </w:p>
    <w:p>
      <w:pPr>
        <w:pStyle w:val="Closing"/>
        <w:spacing w:lineRule="auto" w:line="240"/>
        <w:rPr>
          <w:b/>
        </w:rPr>
      </w:pPr>
      <w:r>
        <w:rPr>
          <w:b/>
        </w:rPr>
        <w:t>Recommendations</w:t>
      </w:r>
    </w:p>
    <w:p>
      <w:pPr>
        <w:pStyle w:val="Closing"/>
        <w:spacing w:lineRule="auto" w:line="240"/>
        <w:rPr/>
      </w:pPr>
      <w:r>
        <w:rPr/>
      </w:r>
    </w:p>
    <w:p>
      <w:pPr>
        <w:pStyle w:val="Closing"/>
        <w:numPr>
          <w:ilvl w:val="0"/>
          <w:numId w:val="2"/>
        </w:numPr>
        <w:tabs>
          <w:tab w:val="clear" w:pos="720"/>
          <w:tab w:val="left" w:pos="1200" w:leader="none"/>
        </w:tabs>
        <w:spacing w:lineRule="auto" w:line="240"/>
        <w:ind w:hanging="360" w:start="1200" w:end="-360"/>
        <w:rPr/>
      </w:pPr>
      <w:r>
        <w:rPr/>
        <w:t>Sale of power to third parties is needed in order to enhance the payment capability of MSEB</w:t>
      </w:r>
    </w:p>
    <w:p>
      <w:pPr>
        <w:pStyle w:val="Closing"/>
        <w:numPr>
          <w:ilvl w:val="0"/>
          <w:numId w:val="2"/>
        </w:numPr>
        <w:tabs>
          <w:tab w:val="clear" w:pos="720"/>
          <w:tab w:val="left" w:pos="1200" w:leader="none"/>
        </w:tabs>
        <w:spacing w:lineRule="auto" w:line="240"/>
        <w:ind w:hanging="360" w:start="1200" w:end="-360"/>
        <w:rPr/>
      </w:pPr>
      <w:r>
        <w:rPr/>
        <w:t>This may need to be undertaken in the form of an internet based bulletin board where prices are posted daily or weekly.  Shorter durations will mean lower credit risk.</w:t>
      </w:r>
    </w:p>
    <w:p>
      <w:pPr>
        <w:pStyle w:val="Closing"/>
        <w:numPr>
          <w:ilvl w:val="0"/>
          <w:numId w:val="2"/>
        </w:numPr>
        <w:tabs>
          <w:tab w:val="clear" w:pos="720"/>
          <w:tab w:val="left" w:pos="1200" w:leader="none"/>
        </w:tabs>
        <w:spacing w:lineRule="auto" w:line="240"/>
        <w:ind w:hanging="360" w:start="1200" w:end="-360"/>
        <w:rPr/>
      </w:pPr>
      <w:r>
        <w:rPr/>
        <w:t>Such sales should be done on behalf of MSEB, such that they are not relieved of their obligations</w:t>
      </w:r>
    </w:p>
    <w:p>
      <w:pPr>
        <w:pStyle w:val="Closing"/>
        <w:numPr>
          <w:ilvl w:val="0"/>
          <w:numId w:val="2"/>
        </w:numPr>
        <w:tabs>
          <w:tab w:val="clear" w:pos="720"/>
          <w:tab w:val="left" w:pos="1200" w:leader="none"/>
        </w:tabs>
        <w:spacing w:lineRule="auto" w:line="240"/>
        <w:ind w:hanging="360" w:start="1200" w:end="-360"/>
        <w:rPr/>
      </w:pPr>
      <w:r>
        <w:rPr/>
        <w:t>Proceeds from sales to third parties should be directed to a special escrow account dedicated to DPC bill payment.</w:t>
      </w:r>
    </w:p>
    <w:p>
      <w:pPr>
        <w:pStyle w:val="Closing"/>
        <w:numPr>
          <w:ilvl w:val="0"/>
          <w:numId w:val="2"/>
        </w:numPr>
        <w:tabs>
          <w:tab w:val="clear" w:pos="720"/>
          <w:tab w:val="left" w:pos="1200" w:leader="none"/>
        </w:tabs>
        <w:spacing w:lineRule="auto" w:line="240"/>
        <w:ind w:hanging="360" w:start="1200" w:end="-360"/>
        <w:rPr/>
      </w:pPr>
      <w:r>
        <w:rPr/>
        <w:t>An active risk management policy needs to be pursued within DPC in order to manage fuel prices in the most optimal manner.  Some instruments should be undertaken in 2001 itself.</w:t>
      </w:r>
    </w:p>
    <w:p>
      <w:pPr>
        <w:pStyle w:val="Closing"/>
        <w:numPr>
          <w:ilvl w:val="0"/>
          <w:numId w:val="2"/>
        </w:numPr>
        <w:tabs>
          <w:tab w:val="clear" w:pos="720"/>
          <w:tab w:val="left" w:pos="1200" w:leader="none"/>
        </w:tabs>
        <w:spacing w:lineRule="auto" w:line="240"/>
        <w:ind w:hanging="360" w:start="1200" w:end="-360"/>
        <w:rPr/>
      </w:pPr>
      <w:r>
        <w:rPr/>
        <w:t xml:space="preserve">Any reduction in per unit LNG price as a result of hedging will be a direct payment towards capacity charge.  </w:t>
      </w:r>
    </w:p>
    <w:p>
      <w:pPr>
        <w:pStyle w:val="Closing"/>
        <w:numPr>
          <w:ilvl w:val="0"/>
          <w:numId w:val="2"/>
        </w:numPr>
        <w:tabs>
          <w:tab w:val="clear" w:pos="720"/>
          <w:tab w:val="left" w:pos="1200" w:leader="none"/>
        </w:tabs>
        <w:spacing w:lineRule="auto" w:line="240"/>
        <w:ind w:hanging="360" w:start="1200" w:end="-360"/>
        <w:rPr/>
      </w:pPr>
      <w:r>
        <w:rPr/>
        <w:t>Negotiations should be undertaken with LNG suppliers to change the JCC index to Brent or some other widely traded crude</w:t>
      </w:r>
    </w:p>
    <w:p>
      <w:pPr>
        <w:pStyle w:val="Closing"/>
        <w:numPr>
          <w:ilvl w:val="0"/>
          <w:numId w:val="2"/>
        </w:numPr>
        <w:tabs>
          <w:tab w:val="clear" w:pos="720"/>
          <w:tab w:val="left" w:pos="1200" w:leader="none"/>
        </w:tabs>
        <w:spacing w:lineRule="auto" w:line="240"/>
        <w:ind w:hanging="360" w:start="1200" w:end="-360"/>
        <w:rPr/>
      </w:pPr>
      <w:r>
        <w:rPr/>
        <w:t>Sale of LNG to third parties should be bench marked against the discount at which power can be sold to third parties</w:t>
      </w:r>
    </w:p>
    <w:p>
      <w:pPr>
        <w:pStyle w:val="Closing"/>
        <w:numPr>
          <w:ilvl w:val="0"/>
          <w:numId w:val="2"/>
        </w:numPr>
        <w:tabs>
          <w:tab w:val="clear" w:pos="720"/>
          <w:tab w:val="left" w:pos="1200" w:leader="none"/>
        </w:tabs>
        <w:spacing w:lineRule="auto" w:line="240"/>
        <w:ind w:hanging="360" w:start="1200" w:end="-360"/>
        <w:rPr/>
      </w:pPr>
      <w:r>
        <w:rPr/>
        <w:t>DPC should undertake a hedging strategy for naphtha too, and use the dual fuel characteristics of the plant, while directing the Global Markets team to short LNG when the price is right</w:t>
      </w:r>
    </w:p>
    <w:p>
      <w:pPr>
        <w:pStyle w:val="Closing"/>
        <w:spacing w:lineRule="auto" w:line="240"/>
        <w:rPr/>
      </w:pPr>
      <w:r>
        <w:rPr/>
      </w:r>
    </w:p>
    <w:p>
      <w:pPr>
        <w:pStyle w:val="Closing"/>
        <w:spacing w:lineRule="auto" w:line="240"/>
        <w:rPr>
          <w:b/>
        </w:rPr>
      </w:pPr>
      <w:r>
        <w:rPr>
          <w:b/>
        </w:rPr>
      </w:r>
    </w:p>
    <w:sectPr>
      <w:headerReference w:type="default" r:id="rId2"/>
      <w:headerReference w:type="first" r:id="rId3"/>
      <w:footerReference w:type="default" r:id="rId4"/>
      <w:footerReference w:type="first" r:id="rId5"/>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2">
              <wp:simplePos x="0" y="0"/>
              <wp:positionH relativeFrom="page">
                <wp:posOffset>457200</wp:posOffset>
              </wp:positionH>
              <wp:positionV relativeFrom="paragraph">
                <wp:posOffset>635</wp:posOffset>
              </wp:positionV>
              <wp:extent cx="3502025" cy="609600"/>
              <wp:effectExtent l="635" t="0" r="0" b="0"/>
              <wp:wrapNone/>
              <wp:docPr id="1"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Template>
  <TotalTime>504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2000-12-13T21:45:00Z</dcterms:created>
  <dc:creator>EI</dc:creator>
  <dc:description/>
  <dc:language>en-CA</dc:language>
  <cp:lastModifiedBy>EI</cp:lastModifiedBy>
  <cp:lastPrinted>2000-12-15T08:48:00Z</cp:lastPrinted>
  <dcterms:modified xsi:type="dcterms:W3CDTF">2000-12-15T12:26:00Z</dcterms:modified>
  <cp:revision>41</cp:revision>
  <dc:subject/>
  <dc:title>Memo</dc:title>
</cp:coreProperties>
</file>