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8"/>
          <w:lang w:val="en-GB"/>
        </w:rPr>
      </w:pPr>
      <w:r>
        <w:rPr>
          <w:b/>
          <w:bCs/>
          <w:sz w:val="28"/>
        </w:rPr>
        <w:t xml:space="preserve">Memo for Ken Lay re German Federal Cartel Office / President Mr. </w:t>
      </w:r>
      <w:r>
        <w:rPr>
          <w:b/>
          <w:bCs/>
          <w:sz w:val="32"/>
        </w:rPr>
        <w:t>Bö</w:t>
      </w:r>
      <w:r>
        <w:rPr>
          <w:b/>
          <w:bCs/>
          <w:sz w:val="32"/>
          <w:lang w:val="en-GB"/>
        </w:rPr>
        <w:t>ge</w:t>
      </w:r>
    </w:p>
    <w:p>
      <w:pPr>
        <w:pStyle w:val="Normal"/>
        <w:rPr>
          <w:rFonts w:ascii="Arial" w:hAnsi="Arial" w:cs="Arial"/>
          <w:sz w:val="28"/>
          <w:lang w:val="de-DE"/>
        </w:rPr>
      </w:pPr>
      <w:r>
        <w:rPr>
          <w:rFonts w:cs="Arial" w:ascii="Arial" w:hAnsi="Arial"/>
          <w:sz w:val="28"/>
          <w:lang w:val="de-DE"/>
        </w:rPr>
      </w:r>
    </w:p>
    <w:p>
      <w:pPr>
        <w:pStyle w:val="Normal"/>
        <w:spacing w:before="0" w:after="120"/>
        <w:jc w:val="both"/>
        <w:rPr>
          <w:rFonts w:ascii="Arial" w:hAnsi="Arial" w:cs="Arial"/>
          <w:b/>
          <w:bCs/>
          <w:sz w:val="22"/>
          <w:lang w:val="de-DE"/>
        </w:rPr>
      </w:pPr>
      <w:r>
        <w:rPr>
          <w:rFonts w:cs="Arial" w:ascii="Arial" w:hAnsi="Arial"/>
          <w:b/>
          <w:bCs/>
          <w:sz w:val="22"/>
          <w:lang w:val="de-DE"/>
        </w:rPr>
        <w:t>Status quo</w:t>
      </w:r>
    </w:p>
    <w:p>
      <w:pPr>
        <w:pStyle w:val="Normal"/>
        <w:spacing w:before="0" w:after="120"/>
        <w:jc w:val="both"/>
        <w:rPr>
          <w:rFonts w:ascii="Arial" w:hAnsi="Arial" w:cs="Arial"/>
          <w:sz w:val="22"/>
          <w:lang w:val="de-DE"/>
        </w:rPr>
      </w:pPr>
      <w:r>
        <w:rPr>
          <w:rFonts w:cs="Arial" w:ascii="Arial" w:hAnsi="Arial"/>
          <w:sz w:val="22"/>
          <w:lang w:val="de-DE"/>
        </w:rPr>
        <w:t>Germany has decided on a regime of  negotiated, rather than regulated, third-party access (NTPA vs. RTPA). In lieu of an energy regulator, in cases of suspected abuse, the Federal Cartel Office (FCO) is supposed to undertake proceedings to secure non-discriminatory access.  The President of the FCO is Mr UIf Böge, a former senior civil servant.  He will be in Davos.  The FCO is generally well-regarded for the quality of its work.</w:t>
      </w:r>
    </w:p>
    <w:p>
      <w:pPr>
        <w:pStyle w:val="Normal"/>
        <w:spacing w:before="0" w:after="120"/>
        <w:jc w:val="both"/>
        <w:rPr>
          <w:rFonts w:ascii="Arial" w:hAnsi="Arial" w:cs="Arial"/>
          <w:b/>
          <w:bCs/>
          <w:sz w:val="22"/>
          <w:lang w:val="de-DE"/>
        </w:rPr>
      </w:pPr>
      <w:r>
        <w:rPr>
          <w:rFonts w:cs="Arial" w:ascii="Arial" w:hAnsi="Arial"/>
          <w:b/>
          <w:bCs/>
          <w:sz w:val="22"/>
          <w:lang w:val="de-DE"/>
        </w:rPr>
        <w:t>Our case:</w:t>
      </w:r>
    </w:p>
    <w:p>
      <w:pPr>
        <w:pStyle w:val="BodyText2"/>
        <w:rPr/>
      </w:pPr>
      <w:r>
        <w:rPr/>
        <w:t>Enron signed a gas supply contract with the municipal utility of Heidelberg in February 2000 for deliveries of 0.5 TWh (gas is measured in kWh in Europe) starting 1 October 2000 until 1 April 2001.  We immediately requested network access.  We had to traverse three gas networks.</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 xml:space="preserve">Usage of three German networks required: </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 xml:space="preserve">1. Ruhrgas </w:t>
        <w:tab/>
        <w:t xml:space="preserve">340 km  transport </w:t>
        <w:tab/>
        <w:t>DM 1.96 mm final offer</w:t>
        <w:tab/>
        <w:t xml:space="preserve">accepted by Enron </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 xml:space="preserve">2. GVS </w:t>
        <w:tab/>
        <w:t xml:space="preserve"> </w:t>
        <w:tab/>
        <w:t xml:space="preserve">  22 km</w:t>
        <w:tab/>
        <w:t>transport</w:t>
        <w:tab/>
        <w:t>DM 1.21 mm final offer</w:t>
        <w:tab/>
        <w:t>NOT accepted</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 xml:space="preserve">3. MVV </w:t>
        <w:tab/>
        <w:tab/>
        <w:t xml:space="preserve">    4 km</w:t>
        <w:tab/>
        <w:t xml:space="preserve">transport </w:t>
        <w:tab/>
        <w:t>DM 1.34 mm final offer</w:t>
        <w:tab/>
        <w:t>NOT accepted</w:t>
      </w:r>
    </w:p>
    <w:p>
      <w:pPr>
        <w:pStyle w:val="Normal"/>
        <w:jc w:val="both"/>
        <w:rPr>
          <w:rFonts w:ascii="Arial" w:hAnsi="Arial" w:cs="Arial"/>
          <w:color w:val="000000"/>
          <w:sz w:val="22"/>
          <w:szCs w:val="20"/>
          <w:lang w:val="de-DE"/>
        </w:rPr>
      </w:pPr>
      <w:r>
        <w:rPr>
          <w:rFonts w:cs="Arial" w:ascii="Arial" w:hAnsi="Arial"/>
          <w:color w:val="000000"/>
          <w:sz w:val="22"/>
          <w:szCs w:val="20"/>
          <w:lang w:val="de-DE"/>
        </w:rPr>
      </w:r>
    </w:p>
    <w:p>
      <w:pPr>
        <w:pStyle w:val="Normal"/>
        <w:jc w:val="both"/>
        <w:rPr/>
      </w:pPr>
      <w:r>
        <w:rPr>
          <w:rFonts w:cs="Arial" w:ascii="Arial" w:hAnsi="Arial"/>
          <w:sz w:val="22"/>
          <w:lang w:val="de-DE"/>
        </w:rPr>
        <w:t xml:space="preserve">For your benefit, in the cases of the two offers not accepted, the charges were so egregious that, looked at one way, the charge would have permitted the network owner to recover the cost of new-build pipe every three years, i.e., he would amorise his investment, if new, in three years, on the back of Enron’s charges alone (we are not the only customer, either).  Alternatively, if all customers only paid the </w:t>
      </w:r>
      <w:r>
        <w:rPr>
          <w:rFonts w:cs="Arial" w:ascii="Arial" w:hAnsi="Arial"/>
          <w:sz w:val="22"/>
          <w:u w:val="single"/>
          <w:lang w:val="de-DE"/>
        </w:rPr>
        <w:t>transport</w:t>
      </w:r>
      <w:r>
        <w:rPr>
          <w:rFonts w:cs="Arial" w:ascii="Arial" w:hAnsi="Arial"/>
          <w:sz w:val="22"/>
          <w:lang w:val="de-DE"/>
        </w:rPr>
        <w:t xml:space="preserve"> charges we were asked to pay, based on published financial data, the gross revenues of the transporter would be </w:t>
      </w:r>
      <w:r>
        <w:rPr>
          <w:rFonts w:cs="Arial" w:ascii="Arial" w:hAnsi="Arial"/>
          <w:sz w:val="22"/>
          <w:u w:val="single"/>
          <w:lang w:val="de-DE"/>
        </w:rPr>
        <w:t>twice</w:t>
      </w:r>
      <w:r>
        <w:rPr>
          <w:rFonts w:cs="Arial" w:ascii="Arial" w:hAnsi="Arial"/>
          <w:sz w:val="22"/>
          <w:lang w:val="de-DE"/>
        </w:rPr>
        <w:t xml:space="preserve"> as high as they are today, when it is providing a </w:t>
      </w:r>
      <w:r>
        <w:rPr>
          <w:rFonts w:cs="Arial" w:ascii="Arial" w:hAnsi="Arial"/>
          <w:sz w:val="22"/>
          <w:u w:val="single"/>
          <w:lang w:val="de-DE"/>
        </w:rPr>
        <w:t>bundled</w:t>
      </w:r>
      <w:r>
        <w:rPr>
          <w:rFonts w:cs="Arial" w:ascii="Arial" w:hAnsi="Arial"/>
          <w:sz w:val="22"/>
          <w:lang w:val="de-DE"/>
        </w:rPr>
        <w:t xml:space="preserve"> (transport and commodity) service. </w:t>
      </w:r>
    </w:p>
    <w:p>
      <w:pPr>
        <w:pStyle w:val="Normal"/>
        <w:jc w:val="both"/>
        <w:rPr>
          <w:rFonts w:ascii="Arial" w:hAnsi="Arial" w:cs="Arial"/>
          <w:sz w:val="22"/>
          <w:lang w:val="de-DE"/>
        </w:rPr>
      </w:pPr>
      <w:r>
        <w:rPr>
          <w:rFonts w:cs="Arial" w:ascii="Arial" w:hAnsi="Arial"/>
          <w:sz w:val="22"/>
          <w:lang w:val="de-DE"/>
        </w:rPr>
      </w:r>
    </w:p>
    <w:p>
      <w:pPr>
        <w:pStyle w:val="Normal"/>
        <w:autoSpaceDE w:val="false"/>
        <w:spacing w:lineRule="atLeast" w:line="240"/>
        <w:jc w:val="both"/>
        <w:rPr/>
      </w:pPr>
      <w:r>
        <w:rPr>
          <w:rFonts w:cs="Arial" w:ascii="Arial" w:hAnsi="Arial"/>
          <w:sz w:val="22"/>
          <w:lang w:val="de-DE"/>
        </w:rPr>
        <w:t xml:space="preserve">The FCO started the case against GVS and MVV on grounds of suspected abusive pricing. </w:t>
      </w:r>
      <w:r>
        <w:rPr>
          <w:rFonts w:cs="Arial" w:ascii="Arial" w:hAnsi="Arial"/>
          <w:color w:val="000000"/>
          <w:sz w:val="22"/>
          <w:szCs w:val="20"/>
        </w:rPr>
        <w:t xml:space="preserve">Since time was running out to finalise formal proceedings before 1 October, a preliminary procedure (the “Protocol”) was agreed, under the auspices of the FCO, between Enron, GVS and MVV in order to enable physical deliveries to proceed, while the FCO continued to resolve the issues.  Enron would pay GVS 50% of the charges demanded, or DM 0.6mm, and we would pay MVV 22% of the charges demanded, or DM 0.3mm. </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In the meantime, the FCO would continue with their case and commission an independent expert to prepare a study on appropriate pricing. It was agreed that the costs for this would be borne by GVS/Enron/MVV. On this basis the FCO would issue a ruling on appropriate pricing.</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 xml:space="preserve">Moreover, Enron, encouraged in part by the FCO, just extended the delivery contract to Heidelberg for part of the volumes until 1 October 2001 to enable the FCO to continue the case.  The FCO suggested that with lapse of our current contract, they might not have a justiciable case.  </w:t>
      </w:r>
    </w:p>
    <w:p>
      <w:pPr>
        <w:pStyle w:val="Normal"/>
        <w:spacing w:before="0" w:after="120"/>
        <w:jc w:val="both"/>
        <w:rPr>
          <w:rFonts w:ascii="Arial" w:hAnsi="Arial" w:cs="Arial"/>
          <w:color w:val="000000"/>
          <w:sz w:val="22"/>
          <w:szCs w:val="20"/>
          <w:lang w:val="de-DE"/>
        </w:rPr>
      </w:pPr>
      <w:r>
        <w:rPr>
          <w:rFonts w:cs="Arial" w:ascii="Arial" w:hAnsi="Arial"/>
          <w:color w:val="000000"/>
          <w:sz w:val="22"/>
          <w:szCs w:val="20"/>
          <w:lang w:val="de-DE"/>
        </w:rPr>
      </w:r>
    </w:p>
    <w:p>
      <w:pPr>
        <w:pStyle w:val="Heading1"/>
        <w:ind w:hanging="0" w:start="0"/>
        <w:rPr/>
      </w:pPr>
      <w:r>
        <w:rPr/>
        <w:t>The Problem</w:t>
      </w:r>
    </w:p>
    <w:p>
      <w:pPr>
        <w:pStyle w:val="Normal"/>
        <w:spacing w:before="0" w:after="120"/>
        <w:jc w:val="both"/>
        <w:rPr>
          <w:rFonts w:ascii="Arial" w:hAnsi="Arial" w:cs="Arial"/>
          <w:sz w:val="22"/>
          <w:lang w:val="de-DE"/>
        </w:rPr>
      </w:pPr>
      <w:r>
        <w:rPr>
          <w:rFonts w:cs="Arial" w:ascii="Arial" w:hAnsi="Arial"/>
          <w:sz w:val="22"/>
          <w:lang w:val="de-DE"/>
        </w:rPr>
        <w:t>The study now cannot be commissioned, as GVS and MVV refuse to agree on and share its cost.  Enron has agreed to the firm chosen, and the cost.  Thus, the FCO cites this procedural problem and is now considering as a possible consequence to drop the case.</w:t>
      </w:r>
    </w:p>
    <w:p>
      <w:pPr>
        <w:pStyle w:val="Normal"/>
        <w:spacing w:before="0" w:after="120"/>
        <w:jc w:val="both"/>
        <w:rPr>
          <w:rFonts w:ascii="Arial" w:hAnsi="Arial" w:cs="Arial"/>
          <w:sz w:val="22"/>
          <w:lang w:val="de-DE"/>
        </w:rPr>
      </w:pPr>
      <w:r>
        <w:rPr>
          <w:rFonts w:cs="Arial" w:ascii="Arial" w:hAnsi="Arial"/>
          <w:sz w:val="22"/>
          <w:lang w:val="de-DE"/>
        </w:rPr>
      </w:r>
    </w:p>
    <w:p>
      <w:pPr>
        <w:pStyle w:val="Normal"/>
        <w:spacing w:before="0" w:after="120"/>
        <w:jc w:val="both"/>
        <w:rPr/>
      </w:pPr>
      <w:r>
        <w:rPr>
          <w:rFonts w:cs="Arial" w:ascii="Arial" w:hAnsi="Arial"/>
          <w:b/>
          <w:bCs/>
          <w:sz w:val="22"/>
          <w:lang w:val="de-DE"/>
        </w:rPr>
        <w:t>The important messages to the FCO / Mr. Bö</w:t>
      </w:r>
      <w:r>
        <w:rPr>
          <w:rFonts w:cs="Arial" w:ascii="Arial" w:hAnsi="Arial"/>
          <w:b/>
          <w:bCs/>
          <w:sz w:val="22"/>
          <w:lang w:val="en-GB"/>
        </w:rPr>
        <w:t>ge why this is totally unacceptable:</w:t>
      </w:r>
    </w:p>
    <w:p>
      <w:pPr>
        <w:pStyle w:val="Normal"/>
        <w:numPr>
          <w:ilvl w:val="0"/>
          <w:numId w:val="2"/>
        </w:numPr>
        <w:spacing w:before="0" w:after="120"/>
        <w:jc w:val="both"/>
        <w:rPr>
          <w:rFonts w:ascii="Arial" w:hAnsi="Arial" w:cs="Arial"/>
          <w:sz w:val="22"/>
          <w:lang w:val="de-DE"/>
        </w:rPr>
      </w:pPr>
      <w:r>
        <w:rPr>
          <w:rFonts w:cs="Arial" w:ascii="Arial" w:hAnsi="Arial"/>
          <w:sz w:val="22"/>
          <w:lang w:val="de-DE"/>
        </w:rPr>
        <w:t>The three parties involved have agreed to the Protocol and the FCO has committed itself to the Protocol as well. Therefore they should proceed according the Protocol, commission the expert opinion and make a decision.</w:t>
      </w:r>
    </w:p>
    <w:p>
      <w:pPr>
        <w:pStyle w:val="Normal"/>
        <w:numPr>
          <w:ilvl w:val="0"/>
          <w:numId w:val="2"/>
        </w:numPr>
        <w:spacing w:before="0" w:after="120"/>
        <w:jc w:val="both"/>
        <w:rPr>
          <w:rFonts w:ascii="Arial" w:hAnsi="Arial" w:cs="Arial"/>
          <w:sz w:val="22"/>
          <w:lang w:val="de-DE"/>
        </w:rPr>
      </w:pPr>
      <w:r>
        <w:rPr>
          <w:rFonts w:cs="Arial" w:ascii="Arial" w:hAnsi="Arial"/>
          <w:sz w:val="22"/>
          <w:lang w:val="de-DE"/>
        </w:rPr>
        <w:t>Since this case is exceptionally well suited to form a precedent, it would set an important and necessary benchmark for the liberalisation of the German gas market. This is even more enhanced by the fact that recent industry negotiations to improve the existing NTPA regime have failed. Thus, a decision by the FCO to drop the case would cause total damage to the liberalisation of the gas market in Germany.</w:t>
      </w:r>
    </w:p>
    <w:p>
      <w:pPr>
        <w:pStyle w:val="Normal"/>
        <w:numPr>
          <w:ilvl w:val="0"/>
          <w:numId w:val="2"/>
        </w:numPr>
        <w:spacing w:before="0" w:after="120"/>
        <w:jc w:val="both"/>
        <w:rPr>
          <w:rFonts w:ascii="Arial" w:hAnsi="Arial" w:cs="Arial"/>
          <w:sz w:val="22"/>
          <w:lang w:val="de-DE"/>
        </w:rPr>
      </w:pPr>
      <w:r>
        <w:rPr>
          <w:rFonts w:cs="Arial" w:ascii="Arial" w:hAnsi="Arial"/>
          <w:sz w:val="22"/>
          <w:lang w:val="de-DE"/>
        </w:rPr>
        <w:t>Furthermore, such a decision would provide the German gas industry with a „licensed monopoly“ since their anticompetitive behaviour would remain unsanctioned by the one office that is supposed to force them into liberalisation if they do not do so themselves.</w:t>
      </w:r>
    </w:p>
    <w:p>
      <w:pPr>
        <w:pStyle w:val="Normal"/>
        <w:numPr>
          <w:ilvl w:val="0"/>
          <w:numId w:val="2"/>
        </w:numPr>
        <w:spacing w:before="0" w:after="120"/>
        <w:jc w:val="both"/>
        <w:rPr>
          <w:rFonts w:ascii="Arial" w:hAnsi="Arial" w:cs="Arial"/>
          <w:sz w:val="22"/>
          <w:lang w:val="de-DE"/>
        </w:rPr>
      </w:pPr>
      <w:r>
        <w:rPr>
          <w:rFonts w:cs="Arial" w:ascii="Arial" w:hAnsi="Arial"/>
          <w:sz w:val="22"/>
          <w:lang w:val="de-DE"/>
        </w:rPr>
        <w:t>A refusal to make a decision would also be equivalent to a public admittance by the FCO that they lack the competence to oversee the energy sector. Therefore, the FCO would force the creation of a federal regulator outside their office.  (This is not necessarily a bad thing for Enron, but FCO will not want to lose this turf.)</w:t>
      </w:r>
    </w:p>
    <w:p>
      <w:pPr>
        <w:pStyle w:val="Normal"/>
        <w:numPr>
          <w:ilvl w:val="0"/>
          <w:numId w:val="2"/>
        </w:numPr>
        <w:spacing w:before="0" w:after="120"/>
        <w:jc w:val="both"/>
        <w:rPr>
          <w:rFonts w:ascii="Arial" w:hAnsi="Arial" w:cs="Arial"/>
          <w:sz w:val="22"/>
          <w:lang w:val="de-DE"/>
        </w:rPr>
      </w:pPr>
      <w:r>
        <w:rPr>
          <w:rFonts w:cs="Arial" w:ascii="Arial" w:hAnsi="Arial"/>
          <w:sz w:val="22"/>
          <w:lang w:val="de-DE"/>
        </w:rPr>
        <w:t>The FCO itself would suffer considerable damage to their image should they decide to drop the case.</w:t>
      </w:r>
    </w:p>
    <w:sectPr>
      <w:footerReference w:type="default" r:id="rId2"/>
      <w:type w:val="nextPage"/>
      <w:pgSz w:w="12240" w:h="15840"/>
      <w:pgMar w:left="1440" w:right="108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val="en-GB"/>
      </w:rPr>
    </w:pPr>
    <w:r>
      <w:rPr>
        <w:sz w:val="16"/>
        <w:lang w:val="en-GB"/>
      </w:rPr>
      <w:tab/>
      <w:tab/>
      <w:t>Carsten Haack</w:t>
    </w:r>
  </w:p>
  <w:p>
    <w:pPr>
      <w:pStyle w:val="Footer"/>
      <w:rPr>
        <w:sz w:val="16"/>
        <w:lang w:val="en-GB"/>
      </w:rPr>
    </w:pPr>
    <w:r>
      <w:rPr>
        <w:sz w:val="16"/>
        <w:lang w:val="en-GB"/>
      </w:rPr>
      <w:tab/>
      <w:tab/>
      <w:t>Thomas Schmitz</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both"/>
      <w:outlineLvl w:val="0"/>
    </w:pPr>
    <w:rPr>
      <w:rFonts w:ascii="Arial" w:hAnsi="Arial" w:cs="Arial"/>
      <w:b/>
      <w:bCs/>
      <w:sz w:val="22"/>
      <w:lang w:val="de-D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lang w:val="de-D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spacing w:lineRule="atLeast" w:line="240"/>
      <w:jc w:val="both"/>
    </w:pPr>
    <w:rPr>
      <w:rFonts w:ascii="Arial" w:hAnsi="Arial" w:cs="Arial"/>
      <w:color w:val="000000"/>
      <w:sz w:val="22"/>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2001-01-26T08:21:00Z</dcterms:created>
  <dc:creator>tschmitz</dc:creator>
  <dc:description/>
  <dc:language>en-CA</dc:language>
  <cp:lastModifiedBy>bashcrof</cp:lastModifiedBy>
  <cp:lastPrinted>2001-01-26T13:06:00Z</cp:lastPrinted>
  <dcterms:modified xsi:type="dcterms:W3CDTF">2001-01-26T10:39:00Z</dcterms:modified>
  <cp:revision>5</cp:revision>
  <dc:subject/>
  <dc:title>Agenda für die Besprechung mit Herrn Schultz am 25</dc:title>
</cp:coreProperties>
</file>