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1440" w:leader="none"/>
        </w:tabs>
        <w:rPr/>
      </w:pPr>
      <w:r>
        <w:rPr/>
        <w:t>Date:</w:t>
        <w:tab/>
        <w:t>April 4, 2002</w:t>
      </w:r>
    </w:p>
    <w:p>
      <w:pPr>
        <w:pStyle w:val="Normal"/>
        <w:tabs>
          <w:tab w:val="clear" w:pos="720"/>
          <w:tab w:val="left" w:pos="1170" w:leader="none"/>
        </w:tabs>
        <w:rPr>
          <w:b/>
          <w:sz w:val="16"/>
        </w:rPr>
      </w:pPr>
      <w:r>
        <w:rPr>
          <w:b/>
          <w:sz w:val="16"/>
        </w:rPr>
      </w:r>
    </w:p>
    <w:p>
      <w:pPr>
        <w:pStyle w:val="Normal"/>
        <w:tabs>
          <w:tab w:val="clear" w:pos="720"/>
          <w:tab w:val="left" w:pos="1440" w:leader="none"/>
        </w:tabs>
        <w:spacing w:lineRule="auto" w:line="360"/>
        <w:rPr/>
      </w:pPr>
      <w:r>
        <w:rPr/>
        <w:t>Subject:</w:t>
      </w:r>
      <w:r>
        <w:rPr>
          <w:b/>
          <w:caps/>
        </w:rPr>
        <w:tab/>
      </w:r>
      <w:r>
        <w:rPr>
          <w:b/>
        </w:rPr>
        <w:t>High wind behavior of the EW1.5 / 70.5</w:t>
      </w:r>
    </w:p>
    <w:p>
      <w:pPr>
        <w:pStyle w:val="Normal"/>
        <w:pBdr>
          <w:bottom w:val="single" w:sz="18" w:space="1" w:color="000000"/>
        </w:pBdr>
        <w:ind w:end="-270"/>
        <w:rPr>
          <w:b/>
        </w:rPr>
      </w:pPr>
      <w:r>
        <w:rPr>
          <w:b/>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rFonts w:eastAsia="Arial"/>
        </w:rPr>
      </w:pPr>
      <w:r>
        <w:rPr>
          <w:rFonts w:eastAsia="Arial"/>
        </w:rPr>
        <w:t xml:space="preserve"> </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This memo describes how high wind speed (status number 7- “</w:t>
      </w:r>
      <w:r>
        <w:rPr>
          <w:color w:val="000000"/>
        </w:rPr>
        <w:t>storm shutdown</w:t>
      </w:r>
      <w:r>
        <w:rPr/>
        <w:t xml:space="preserve"> “) is detected and how the turbine reacts to this event. It applies to the current version of software running in the Bachmann PLC of the EW1500 (version 1x527) with parameters (“Px.x) set as indicated. </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The high wind event will occur if:</w:t>
      </w:r>
    </w:p>
    <w:p>
      <w:pPr>
        <w:pStyle w:val="Header"/>
        <w:numPr>
          <w:ilvl w:val="0"/>
          <w:numId w:val="2"/>
        </w:numPr>
        <w:tabs>
          <w:tab w:val="clear" w:pos="4320"/>
          <w:tab w:val="clear" w:pos="8640"/>
          <w:tab w:val="left" w:pos="420" w:leader="none"/>
          <w:tab w:val="center" w:pos="2160" w:leader="none"/>
          <w:tab w:val="center" w:pos="3780" w:leader="none"/>
          <w:tab w:val="center" w:pos="5580" w:leader="none"/>
          <w:tab w:val="center" w:pos="7020" w:leader="none"/>
          <w:tab w:val="center" w:pos="7920" w:leader="none"/>
          <w:tab w:val="center" w:pos="9000" w:leader="none"/>
        </w:tabs>
        <w:ind w:hanging="360" w:start="420" w:end="0"/>
        <w:rPr/>
      </w:pPr>
      <w:r>
        <w:rPr/>
        <w:t xml:space="preserve">the measured wind velocity exceeds the storm shutdown wind velocity (P6.5 = 22 m/s) for more than the storm shutdown period (P6.6 = 30 s) </w:t>
      </w:r>
    </w:p>
    <w:p>
      <w:pPr>
        <w:pStyle w:val="Header"/>
        <w:numPr>
          <w:ilvl w:val="0"/>
          <w:numId w:val="2"/>
        </w:numPr>
        <w:tabs>
          <w:tab w:val="clear" w:pos="4320"/>
          <w:tab w:val="clear" w:pos="8640"/>
          <w:tab w:val="left" w:pos="420" w:leader="none"/>
          <w:tab w:val="center" w:pos="2160" w:leader="none"/>
          <w:tab w:val="center" w:pos="3780" w:leader="none"/>
          <w:tab w:val="center" w:pos="5580" w:leader="none"/>
          <w:tab w:val="center" w:pos="7020" w:leader="none"/>
          <w:tab w:val="center" w:pos="7920" w:leader="none"/>
          <w:tab w:val="center" w:pos="9000" w:leader="none"/>
        </w:tabs>
        <w:ind w:hanging="360" w:start="420" w:end="0"/>
        <w:rPr/>
      </w:pPr>
      <w:r>
        <w:rPr>
          <w:b/>
        </w:rPr>
        <w:t>or</w:t>
      </w:r>
      <w:r>
        <w:rPr/>
        <w:t xml:space="preserve"> the measured wind velocity exceeds the storm gust wind velocity (P6.7 = 27 m/s) for more than the storm gust period (P6.8 = 3 s)</w:t>
      </w:r>
    </w:p>
    <w:p>
      <w:pPr>
        <w:pStyle w:val="Header"/>
        <w:numPr>
          <w:ilvl w:val="0"/>
          <w:numId w:val="2"/>
        </w:numPr>
        <w:tabs>
          <w:tab w:val="clear" w:pos="4320"/>
          <w:tab w:val="clear" w:pos="8640"/>
          <w:tab w:val="left" w:pos="420" w:leader="none"/>
          <w:tab w:val="center" w:pos="2160" w:leader="none"/>
          <w:tab w:val="center" w:pos="3780" w:leader="none"/>
          <w:tab w:val="center" w:pos="5580" w:leader="none"/>
          <w:tab w:val="center" w:pos="7020" w:leader="none"/>
          <w:tab w:val="center" w:pos="7920" w:leader="none"/>
          <w:tab w:val="center" w:pos="9000" w:leader="none"/>
        </w:tabs>
        <w:ind w:hanging="360" w:start="420" w:end="0"/>
        <w:rPr/>
      </w:pPr>
      <w:r>
        <w:rPr>
          <w:b/>
        </w:rPr>
        <w:t>or</w:t>
      </w:r>
      <w:r>
        <w:rPr/>
        <w:t xml:space="preserve"> turbine is in “load operation” mode and the actual blade angle is greater than the maximum blade angle in load operation (P12.11 = 27.0°) for greater than the wind gust period (P6.8 = 3 s)</w:t>
      </w:r>
    </w:p>
    <w:p>
      <w:pPr>
        <w:pStyle w:val="Header"/>
        <w:numPr>
          <w:ilvl w:val="0"/>
          <w:numId w:val="2"/>
        </w:numPr>
        <w:tabs>
          <w:tab w:val="clear" w:pos="4320"/>
          <w:tab w:val="clear" w:pos="8640"/>
          <w:tab w:val="left" w:pos="420" w:leader="none"/>
          <w:tab w:val="center" w:pos="2160" w:leader="none"/>
          <w:tab w:val="center" w:pos="3780" w:leader="none"/>
          <w:tab w:val="center" w:pos="5580" w:leader="none"/>
          <w:tab w:val="center" w:pos="7020" w:leader="none"/>
          <w:tab w:val="center" w:pos="7920" w:leader="none"/>
          <w:tab w:val="center" w:pos="9000" w:leader="none"/>
        </w:tabs>
        <w:ind w:hanging="360" w:start="420" w:end="0"/>
        <w:rPr/>
      </w:pPr>
      <w:r>
        <w:rPr>
          <w:b/>
        </w:rPr>
        <w:t>or</w:t>
      </w:r>
      <w:r>
        <w:rPr/>
        <w:t xml:space="preserve"> turbine is in “spinning” mode (with fix blade angle at P12.1 = 65°) and the average generator speed exceeds storm spinning speed (P2.2 = 300 rpm). (In newer software version- 1xx29 or greater- status message 7 is generated in this case, too.)</w:t>
      </w:r>
    </w:p>
    <w:p>
      <w:pPr>
        <w:pStyle w:val="Header"/>
        <w:numPr>
          <w:ilvl w:val="0"/>
          <w:numId w:val="2"/>
        </w:numPr>
        <w:tabs>
          <w:tab w:val="clear" w:pos="4320"/>
          <w:tab w:val="clear" w:pos="8640"/>
          <w:tab w:val="left" w:pos="420" w:leader="none"/>
          <w:tab w:val="center" w:pos="2160" w:leader="none"/>
          <w:tab w:val="center" w:pos="3780" w:leader="none"/>
          <w:tab w:val="center" w:pos="5580" w:leader="none"/>
          <w:tab w:val="center" w:pos="7020" w:leader="none"/>
          <w:tab w:val="center" w:pos="7920" w:leader="none"/>
          <w:tab w:val="center" w:pos="9000" w:leader="none"/>
        </w:tabs>
        <w:ind w:hanging="360" w:start="420" w:end="0"/>
        <w:rPr/>
      </w:pPr>
      <w:r>
        <w:rPr>
          <w:b/>
        </w:rPr>
        <w:t xml:space="preserve">or </w:t>
      </w:r>
      <w:r>
        <w:rPr/>
        <w:t>the measured wind velocity exceeds the extreme wind velocity limit (35m/s) for 3 seconds.</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Case 3 and 4 guard against the failure of the wind velocity measurement system.</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 xml:space="preserve">Case 5 is here in case the parameter values (P6.5 and P6.7) are corrupted or set improperly. </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 xml:space="preserve">The high wind speed event causes the turbine to brake using brake procedure 2. The blades are pitched to feathered position with a slow pitch rate (1-2°/s). When the blades reach feathered pitch position (P12.1 = 85°), the mechanical brake remains open, in normal cases. </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The status message will clear and the turbine will restart automatically when the wind conditions are favorable. The wind must be below the restart after storm wind velocity (P6.3 = 20 m/s) for the storm restart period (P6.4 = 300 s or 5 minutes).</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As with most of the control functions of the PLC, the set points for this fault are adjustable via parameter settings. The parameters that influence this fault are:</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tbl>
      <w:tblPr>
        <w:tblW w:w="9558" w:type="dxa"/>
        <w:jc w:val="start"/>
        <w:tblInd w:w="0" w:type="dxa"/>
        <w:tblLayout w:type="fixed"/>
        <w:tblCellMar>
          <w:top w:w="0" w:type="dxa"/>
          <w:start w:w="108" w:type="dxa"/>
          <w:bottom w:w="0" w:type="dxa"/>
          <w:end w:w="108" w:type="dxa"/>
        </w:tblCellMar>
      </w:tblPr>
      <w:tblGrid>
        <w:gridCol w:w="1368"/>
        <w:gridCol w:w="5850"/>
        <w:gridCol w:w="2340"/>
      </w:tblGrid>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b/>
              </w:rPr>
            </w:pPr>
            <w:r>
              <w:rPr>
                <w:b/>
              </w:rPr>
              <w:t>Number</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b/>
              </w:rPr>
            </w:pPr>
            <w:r>
              <w:rPr>
                <w:b/>
              </w:rPr>
              <w:t>Description</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b/>
              </w:rPr>
            </w:pPr>
            <w:r>
              <w:rPr>
                <w:b/>
              </w:rPr>
              <w:t>Nominal value</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P2.2</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Storm spinning speed</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300 rpm</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P6.3</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Restart after storm</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20 m/s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P6.4</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Restart after storm period</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300 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P6.5</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Storm shutdown</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22 m/s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P6.6</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Storm shutdown period</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30 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P6.7</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Storm gust</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27 m/s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P6.8</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Storm gust period</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3 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P12.11</w:t>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Maximum blade angle in load operation</w:t>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27.0°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snapToGrid w:val="false"/>
              <w:rPr/>
            </w:pPr>
            <w:r>
              <w:rPr/>
            </w:r>
          </w:p>
        </w:tc>
      </w:tr>
    </w:tbl>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t>In addition to these parameters there is a default value for extreme wind speed that is hard-coded (not changeable by the operator) in the software that provides an upper limit on wind speed. This value is 35 m/s for maximum extreme wind velocity.</w:t>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p>
      <w:pPr>
        <w:pStyle w:val="Header"/>
        <w:tabs>
          <w:tab w:val="clear" w:pos="4320"/>
          <w:tab w:val="clear" w:pos="8640"/>
          <w:tab w:val="center" w:pos="2160" w:leader="none"/>
          <w:tab w:val="center" w:pos="3780" w:leader="none"/>
          <w:tab w:val="center" w:pos="5580" w:leader="none"/>
          <w:tab w:val="center" w:pos="7020" w:leader="none"/>
          <w:tab w:val="center" w:pos="7920" w:leader="none"/>
          <w:tab w:val="center" w:pos="9000" w:leader="none"/>
        </w:tabs>
        <w:rPr/>
      </w:pPr>
      <w:r>
        <w:rPr/>
      </w:r>
    </w:p>
    <w:sectPr>
      <w:headerReference w:type="default" r:id="rId2"/>
      <w:headerReference w:type="first" r:id="rId3"/>
      <w:footerReference w:type="default" r:id="rId4"/>
      <w:footerReference w:type="first" r:id="rId5"/>
      <w:type w:val="nextPage"/>
      <w:pgSz w:w="12240" w:h="15840"/>
      <w:pgMar w:left="1440" w:right="1440" w:gutter="0" w:header="360" w:top="630" w:footer="620" w:bottom="6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sz w:val="16"/>
      </w:rPr>
    </w:pPr>
    <w:r>
      <w:rPr>
        <w:sz w:val="16"/>
      </w:rPr>
    </w:r>
  </w:p>
  <w:p>
    <w:pPr>
      <w:pStyle w:val="Footer"/>
      <w:jc w:val="center"/>
      <w:rPr>
        <w:sz w:val="16"/>
      </w:rPr>
    </w:pPr>
    <w:r>
      <w:rPr>
        <w:sz w:val="16"/>
      </w:rPr>
    </w:r>
  </w:p>
  <w:p>
    <w:pPr>
      <w:pStyle w:val="Footer"/>
      <w:jc w:val="center"/>
      <w:rPr>
        <w:sz w:val="16"/>
      </w:rPr>
    </w:pPr>
    <w:r>
      <w:rPr>
        <w:sz w:val="16"/>
      </w:rPr>
    </w:r>
  </w:p>
  <w:p>
    <w:pPr>
      <w:pStyle w:val="Footer"/>
      <w:pBdr>
        <w:top w:val="single" w:sz="8" w:space="1" w:color="000000"/>
      </w:pBdr>
      <w:jc w:val="center"/>
      <w:rPr>
        <w:sz w:val="16"/>
      </w:rPr>
    </w:pPr>
    <w:r>
      <w:rPr>
        <w:sz w:val="16"/>
      </w:rPr>
    </w:r>
  </w:p>
  <w:p>
    <w:pPr>
      <w:pStyle w:val="Footer"/>
      <w:pBdr>
        <w:top w:val="single" w:sz="8" w:space="1" w:color="000000"/>
      </w:pBdr>
      <w:jc w:val="center"/>
      <w:rPr/>
    </w:pPr>
    <w:r>
      <w:rPr>
        <w:sz w:val="16"/>
      </w:rPr>
      <w:t xml:space="preserve">P. O. Box 1910, 13000 Jameson Road, Tehachapi, California 93581 </w:t>
    </w:r>
    <w:r>
      <w:rPr>
        <w:rFonts w:eastAsia="Symbol" w:cs="Symbol" w:ascii="Symbol" w:hAnsi="Symbol"/>
        <w:sz w:val="16"/>
      </w:rPr>
      <w:sym w:font="Symbol" w:char="f0b7"/>
    </w:r>
    <w:r>
      <w:rPr>
        <w:sz w:val="16"/>
      </w:rPr>
      <w:t xml:space="preserve"> Phone: 661/823-6700 </w:t>
    </w:r>
    <w:r>
      <w:rPr>
        <w:rFonts w:eastAsia="Symbol" w:cs="Symbol" w:ascii="Symbol" w:hAnsi="Symbol"/>
        <w:sz w:val="16"/>
      </w:rPr>
      <w:sym w:font="Symbol" w:char="f0b7"/>
    </w:r>
    <w:r>
      <w:rPr>
        <w:sz w:val="16"/>
      </w:rPr>
      <w:t xml:space="preserve"> Fax: 661/822-7880</w:t>
    </w:r>
  </w:p>
  <w:p>
    <w:pPr>
      <w:pStyle w:val="Footer"/>
      <w:pBdr>
        <w:top w:val="single" w:sz="8" w:space="1" w:color="000000"/>
      </w:pBdr>
      <w:jc w:val="center"/>
      <w:rPr/>
    </w:pPr>
    <w:r>
      <w:rPr>
        <w:sz w:val="16"/>
      </w:rPr>
      <w:t xml:space="preserve">E-mail: wind@enron.com </w:t>
    </w:r>
    <w:r>
      <w:rPr>
        <w:rFonts w:eastAsia="Symbol" w:cs="Symbol" w:ascii="Symbol" w:hAnsi="Symbol"/>
        <w:sz w:val="16"/>
      </w:rPr>
      <w:sym w:font="Symbol" w:char="f0b7"/>
    </w:r>
    <w:r>
      <w:rPr>
        <w:sz w:val="16"/>
      </w:rPr>
      <w:t xml:space="preserve"> Web Address: http://www.wind.enron.com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sz w:val="16"/>
      </w:rPr>
    </w:pPr>
    <w:r>
      <w:rPr>
        <w:sz w:val="16"/>
      </w:rPr>
    </w:r>
  </w:p>
  <w:p>
    <w:pPr>
      <w:pStyle w:val="Footer"/>
      <w:pBdr>
        <w:top w:val="single" w:sz="8" w:space="1" w:color="000000"/>
      </w:pBdr>
      <w:jc w:val="center"/>
      <w:rPr>
        <w:sz w:val="16"/>
      </w:rPr>
    </w:pPr>
    <w:r>
      <w:rPr>
        <w:sz w:val="16"/>
      </w:rPr>
    </w:r>
  </w:p>
  <w:p>
    <w:pPr>
      <w:pStyle w:val="Footer"/>
      <w:pBdr>
        <w:top w:val="single" w:sz="8" w:space="1" w:color="000000"/>
      </w:pBdr>
      <w:jc w:val="center"/>
      <w:rPr/>
    </w:pPr>
    <w:r>
      <w:rPr>
        <w:sz w:val="16"/>
      </w:rPr>
      <w:t xml:space="preserve">P. O. Box 1910, 13000 Jameson Road, Tehachapi, California 93581 </w:t>
    </w:r>
    <w:r>
      <w:rPr>
        <w:rFonts w:eastAsia="Symbol" w:cs="Symbol" w:ascii="Symbol" w:hAnsi="Symbol"/>
        <w:sz w:val="16"/>
      </w:rPr>
      <w:sym w:font="Symbol" w:char="f0b7"/>
    </w:r>
    <w:r>
      <w:rPr>
        <w:sz w:val="16"/>
      </w:rPr>
      <w:t xml:space="preserve"> Phone: 661/823-6700 </w:t>
    </w:r>
    <w:r>
      <w:rPr>
        <w:rFonts w:eastAsia="Symbol" w:cs="Symbol" w:ascii="Symbol" w:hAnsi="Symbol"/>
        <w:sz w:val="16"/>
      </w:rPr>
      <w:sym w:font="Symbol" w:char="f0b7"/>
    </w:r>
    <w:r>
      <w:rPr>
        <w:sz w:val="16"/>
      </w:rPr>
      <w:t xml:space="preserve"> Fax: 661/822-7880</w:t>
    </w:r>
  </w:p>
  <w:p>
    <w:pPr>
      <w:pStyle w:val="Footer"/>
      <w:pBdr>
        <w:top w:val="single" w:sz="8" w:space="1" w:color="000000"/>
      </w:pBdr>
      <w:jc w:val="center"/>
      <w:rPr/>
    </w:pPr>
    <w:r>
      <w:rPr>
        <w:sz w:val="16"/>
      </w:rPr>
      <w:t xml:space="preserve">E-mail: wind@enron.com </w:t>
    </w:r>
    <w:r>
      <w:rPr>
        <w:rFonts w:eastAsia="Symbol" w:cs="Symbol" w:ascii="Symbol" w:hAnsi="Symbol"/>
        <w:sz w:val="16"/>
      </w:rPr>
      <w:sym w:font="Symbol" w:char="f0b7"/>
    </w:r>
    <w:r>
      <w:rPr>
        <w:sz w:val="16"/>
      </w:rPr>
      <w:t xml:space="preserve"> Web Address: http://www.wind.enron.com</w:t>
    </w:r>
  </w:p>
  <w:p>
    <w:pPr>
      <w:pStyle w:val="Footer"/>
      <w:jc w:val="center"/>
      <w:rPr>
        <w:sz w:val="16"/>
      </w:rPr>
    </w:pPr>
    <w:r>
      <w:rPr>
        <w:sz w:val="16"/>
      </w:rPr>
    </w:r>
  </w:p>
  <w:p>
    <w:pPr>
      <w:pStyle w:val="Footer"/>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Style w:val="PageNumber"/>
      </w:rPr>
      <w:t xml:space="preserve">Memo-Page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jc w:val="end"/>
      <w:rPr>
        <w:rStyle w:val="PageNumber"/>
      </w:rPr>
    </w:pPr>
    <w:r>
      <w:rPr/>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180" w:end="0"/>
      <w:rPr/>
    </w:pPr>
    <w:r>
      <w:rPr/>
    </w:r>
  </w:p>
  <w:p>
    <w:pPr>
      <w:pStyle w:val="Normal"/>
      <w:ind w:start="-180" w:end="0"/>
      <w:rPr>
        <w:b/>
        <w:sz w:val="18"/>
        <w:lang w:val="en-CA"/>
      </w:rPr>
    </w:pPr>
    <w:r>
      <w:rPr>
        <w:b/>
        <w:sz w:val="18"/>
        <w:lang w:val="en-CA"/>
      </w:rPr>
    </w:r>
    <w:r>
      <mc:AlternateContent>
        <mc:Choice Requires="wps">
          <w:drawing>
            <wp:anchor behindDoc="1" distT="0" distB="0" distL="114935" distR="114935" simplePos="0" locked="0" layoutInCell="1" allowOverlap="1" relativeHeight="3">
              <wp:simplePos x="0" y="0"/>
              <wp:positionH relativeFrom="column">
                <wp:posOffset>3657600</wp:posOffset>
              </wp:positionH>
              <wp:positionV relativeFrom="paragraph">
                <wp:posOffset>100330</wp:posOffset>
              </wp:positionV>
              <wp:extent cx="1645920" cy="1141730"/>
              <wp:effectExtent l="0" t="0" r="0" b="0"/>
              <wp:wrapNone/>
              <wp:docPr id="1" name="Frame1"/>
              <a:graphic xmlns:a="http://schemas.openxmlformats.org/drawingml/2006/main">
                <a:graphicData uri="http://schemas.microsoft.com/office/word/2010/wordprocessingShape">
                  <wps:wsp>
                    <wps:cNvSpPr txBox="1"/>
                    <wps:spPr>
                      <a:xfrm>
                        <a:off x="0" y="0"/>
                        <a:ext cx="1645920" cy="1141730"/>
                      </a:xfrm>
                      <a:prstGeom prst="rect"/>
                      <a:solidFill>
                        <a:srgbClr val="FFFFFF">
                          <a:alpha val="0"/>
                        </a:srgbClr>
                      </a:solidFill>
                    </wps:spPr>
                    <wps:txbx>
                      <w:txbxContent>
                        <w:p>
                          <w:pPr>
                            <w:pStyle w:val="Normal"/>
                            <w:rPr>
                              <w:b/>
                              <w:sz w:val="20"/>
                            </w:rPr>
                          </w:pPr>
                          <w:r>
                            <w:rPr>
                              <w:b/>
                              <w:sz w:val="20"/>
                            </w:rPr>
                            <w:t>Enron Wind</w:t>
                          </w:r>
                        </w:p>
                        <w:p>
                          <w:pPr>
                            <w:pStyle w:val="Header"/>
                            <w:tabs>
                              <w:tab w:val="clear" w:pos="4320"/>
                              <w:tab w:val="clear" w:pos="8640"/>
                            </w:tabs>
                            <w:rPr>
                              <w:sz w:val="20"/>
                            </w:rPr>
                          </w:pPr>
                          <w:r>
                            <w:rPr>
                              <w:sz w:val="20"/>
                            </w:rPr>
                            <w:t>13000 Jameson Road</w:t>
                          </w:r>
                        </w:p>
                        <w:p>
                          <w:pPr>
                            <w:pStyle w:val="Normal"/>
                            <w:rPr>
                              <w:sz w:val="20"/>
                            </w:rPr>
                          </w:pPr>
                          <w:r>
                            <w:rPr>
                              <w:sz w:val="20"/>
                            </w:rPr>
                            <w:t>Tehachapi, CA 93561</w:t>
                          </w:r>
                        </w:p>
                        <w:p>
                          <w:pPr>
                            <w:pStyle w:val="Normal"/>
                            <w:rPr>
                              <w:sz w:val="20"/>
                            </w:rPr>
                          </w:pPr>
                          <w:r>
                            <w:rPr>
                              <w:sz w:val="20"/>
                            </w:rPr>
                            <w:t>Tel: (661) 823-6700</w:t>
                          </w:r>
                        </w:p>
                        <w:p>
                          <w:pPr>
                            <w:pStyle w:val="Normal"/>
                            <w:rPr>
                              <w:sz w:val="20"/>
                            </w:rPr>
                          </w:pPr>
                          <w:r>
                            <w:rPr>
                              <w:sz w:val="20"/>
                            </w:rPr>
                            <w:t>Fax: (661) 822-7880</w:t>
                          </w:r>
                        </w:p>
                        <w:p>
                          <w:pPr>
                            <w:pStyle w:val="Normal"/>
                            <w:rPr>
                              <w:sz w:val="20"/>
                            </w:rPr>
                          </w:pPr>
                          <w:r>
                            <w:rPr>
                              <w:sz w:val="20"/>
                            </w:rPr>
                            <w:t>wind@enron.com</w:t>
                          </w:r>
                        </w:p>
                        <w:p>
                          <w:pPr>
                            <w:pStyle w:val="Normal"/>
                            <w:rPr>
                              <w:sz w:val="20"/>
                            </w:rPr>
                          </w:pPr>
                          <w:r>
                            <w:rPr>
                              <w:sz w:val="20"/>
                            </w:rPr>
                            <w:t>www.wind.enron.com</w:t>
                          </w:r>
                        </w:p>
                      </w:txbxContent>
                    </wps:txbx>
                    <wps:bodyPr anchor="t" lIns="92075" tIns="46355" rIns="92075" bIns="46355">
                      <a:noAutofit/>
                    </wps:bodyPr>
                  </wps:wsp>
                </a:graphicData>
              </a:graphic>
            </wp:anchor>
          </w:drawing>
        </mc:Choice>
        <mc:Fallback>
          <w:pict>
            <v:rect fillcolor="#FFFFFF" style="position:absolute;rotation:-0;width:129.6pt;height:89.9pt;mso-wrap-distance-left:9.05pt;mso-wrap-distance-right:9.05pt;mso-wrap-distance-top:0pt;mso-wrap-distance-bottom:0pt;margin-top:7.9pt;mso-position-vertical-relative:text;margin-left:288pt;mso-position-horizontal-relative:text">
              <v:fill opacity="0f"/>
              <v:textbox inset="0.100694444444444in,0.0506944444444444in,0.100694444444444in,0.0506944444444444in">
                <w:txbxContent>
                  <w:p>
                    <w:pPr>
                      <w:pStyle w:val="Normal"/>
                      <w:rPr>
                        <w:b/>
                        <w:sz w:val="20"/>
                      </w:rPr>
                    </w:pPr>
                    <w:r>
                      <w:rPr>
                        <w:b/>
                        <w:sz w:val="20"/>
                      </w:rPr>
                      <w:t>Enron Wind</w:t>
                    </w:r>
                  </w:p>
                  <w:p>
                    <w:pPr>
                      <w:pStyle w:val="Header"/>
                      <w:tabs>
                        <w:tab w:val="clear" w:pos="4320"/>
                        <w:tab w:val="clear" w:pos="8640"/>
                      </w:tabs>
                      <w:rPr>
                        <w:sz w:val="20"/>
                      </w:rPr>
                    </w:pPr>
                    <w:r>
                      <w:rPr>
                        <w:sz w:val="20"/>
                      </w:rPr>
                      <w:t>13000 Jameson Road</w:t>
                    </w:r>
                  </w:p>
                  <w:p>
                    <w:pPr>
                      <w:pStyle w:val="Normal"/>
                      <w:rPr>
                        <w:sz w:val="20"/>
                      </w:rPr>
                    </w:pPr>
                    <w:r>
                      <w:rPr>
                        <w:sz w:val="20"/>
                      </w:rPr>
                      <w:t>Tehachapi, CA 93561</w:t>
                    </w:r>
                  </w:p>
                  <w:p>
                    <w:pPr>
                      <w:pStyle w:val="Normal"/>
                      <w:rPr>
                        <w:sz w:val="20"/>
                      </w:rPr>
                    </w:pPr>
                    <w:r>
                      <w:rPr>
                        <w:sz w:val="20"/>
                      </w:rPr>
                      <w:t>Tel: (661) 823-6700</w:t>
                    </w:r>
                  </w:p>
                  <w:p>
                    <w:pPr>
                      <w:pStyle w:val="Normal"/>
                      <w:rPr>
                        <w:sz w:val="20"/>
                      </w:rPr>
                    </w:pPr>
                    <w:r>
                      <w:rPr>
                        <w:sz w:val="20"/>
                      </w:rPr>
                      <w:t>Fax: (661) 822-7880</w:t>
                    </w:r>
                  </w:p>
                  <w:p>
                    <w:pPr>
                      <w:pStyle w:val="Normal"/>
                      <w:rPr>
                        <w:sz w:val="20"/>
                      </w:rPr>
                    </w:pPr>
                    <w:r>
                      <w:rPr>
                        <w:sz w:val="20"/>
                      </w:rPr>
                      <w:t>wind@enron.com</w:t>
                    </w:r>
                  </w:p>
                  <w:p>
                    <w:pPr>
                      <w:pStyle w:val="Normal"/>
                      <w:rPr>
                        <w:sz w:val="20"/>
                      </w:rPr>
                    </w:pPr>
                    <w:r>
                      <w:rPr>
                        <w:sz w:val="20"/>
                      </w:rPr>
                      <w:t>www.wind.enron.com</w:t>
                    </w:r>
                  </w:p>
                </w:txbxContent>
              </v:textbox>
              <w10:wrap type="none"/>
            </v:rect>
          </w:pict>
        </mc:Fallback>
      </mc:AlternateContent>
    </w:r>
  </w:p>
  <w:tbl>
    <w:tblPr>
      <w:tblW w:w="10080" w:type="dxa"/>
      <w:jc w:val="start"/>
      <w:tblInd w:w="-252" w:type="dxa"/>
      <w:tblLayout w:type="fixed"/>
      <w:tblCellMar>
        <w:top w:w="0" w:type="dxa"/>
        <w:start w:w="108" w:type="dxa"/>
        <w:bottom w:w="0" w:type="dxa"/>
        <w:end w:w="108" w:type="dxa"/>
      </w:tblCellMar>
    </w:tblPr>
    <w:tblGrid>
      <w:gridCol w:w="252"/>
      <w:gridCol w:w="9828"/>
    </w:tblGrid>
    <w:tr>
      <w:trPr/>
      <w:tc>
        <w:tcPr>
          <w:tcW w:w="10080" w:type="dxa"/>
          <w:gridSpan w:val="2"/>
          <w:tcBorders/>
        </w:tcPr>
        <w:p>
          <w:pPr>
            <w:pStyle w:val="Header"/>
            <w:rPr>
              <w:b/>
              <w:sz w:val="18"/>
            </w:rPr>
          </w:pPr>
          <w:r>
            <w:rPr>
              <w:b/>
              <w:sz w:val="18"/>
            </w:rPr>
            <w:drawing>
              <wp:inline distT="0" distB="0" distL="0" distR="0">
                <wp:extent cx="1202690" cy="1202690"/>
                <wp:effectExtent l="0" t="0" r="0" b="0"/>
                <wp:docPr id="2" name="ENE34BL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34BLK" descr="" title=""/>
                        <pic:cNvPicPr>
                          <a:picLocks noChangeAspect="1" noChangeArrowheads="1"/>
                        </pic:cNvPicPr>
                      </pic:nvPicPr>
                      <pic:blipFill>
                        <a:blip r:embed="rId1"/>
                        <a:srcRect l="-13" t="-13" r="-13" b="-13"/>
                        <a:stretch>
                          <a:fillRect/>
                        </a:stretch>
                      </pic:blipFill>
                      <pic:spPr bwMode="auto">
                        <a:xfrm>
                          <a:off x="0" y="0"/>
                          <a:ext cx="1202690" cy="1202690"/>
                        </a:xfrm>
                        <a:prstGeom prst="rect">
                          <a:avLst/>
                        </a:prstGeom>
                        <a:noFill/>
                      </pic:spPr>
                    </pic:pic>
                  </a:graphicData>
                </a:graphic>
              </wp:inline>
            </w:drawing>
          </w:r>
        </w:p>
      </w:tc>
    </w:tr>
    <w:tr>
      <w:trPr>
        <w:trHeight w:val="1134" w:hRule="atLeast"/>
      </w:trPr>
      <w:tc>
        <w:tcPr>
          <w:tcW w:w="252" w:type="dxa"/>
          <w:tcBorders/>
          <w:tcMar>
            <w:start w:w="0" w:type="dxa"/>
            <w:end w:w="0" w:type="dxa"/>
          </w:tcMar>
        </w:tcPr>
        <w:p>
          <w:pPr>
            <w:pStyle w:val="Normal"/>
            <w:rPr>
              <w:b/>
              <w:sz w:val="18"/>
            </w:rPr>
          </w:pPr>
          <w:r>
            <w:rPr>
              <w:b/>
              <w:sz w:val="18"/>
            </w:rPr>
          </w:r>
        </w:p>
      </w:tc>
      <w:tc>
        <w:tcPr>
          <w:tcW w:w="9828" w:type="dxa"/>
          <w:tcBorders/>
        </w:tcPr>
        <w:p>
          <w:pPr>
            <w:pStyle w:val="Heading"/>
            <w:pBdr>
              <w:top w:val="single" w:sz="18" w:space="7" w:color="000000"/>
              <w:bottom w:val="single" w:sz="18" w:space="7" w:color="000000"/>
            </w:pBdr>
            <w:rPr>
              <w:sz w:val="48"/>
            </w:rPr>
          </w:pPr>
          <w:r>
            <w:rPr>
              <w:rFonts w:eastAsia="Arial"/>
              <w:sz w:val="48"/>
            </w:rPr>
            <w:t xml:space="preserve">                           </w:t>
          </w:r>
          <w:r>
            <w:rPr>
              <w:sz w:val="48"/>
            </w:rPr>
            <w:t>Memo</w:t>
          </w:r>
        </w:p>
        <w:p>
          <w:pPr>
            <w:pStyle w:val="Header"/>
            <w:rPr>
              <w:sz w:val="16"/>
            </w:rPr>
          </w:pPr>
          <w:r>
            <w:rPr>
              <w:sz w:val="16"/>
            </w:rPr>
          </w:r>
        </w:p>
      </w:tc>
    </w:tr>
  </w:tbl>
  <w:p>
    <w:pPr>
      <w:pStyle w:val="Heade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tabs>
        <w:tab w:val="clear" w:pos="720"/>
        <w:tab w:val="right" w:pos="360" w:leader="none"/>
      </w:tabs>
      <w:outlineLvl w:val="1"/>
    </w:pPr>
    <w:rPr>
      <w:rFonts w:ascii="Arial" w:hAnsi="Arial" w:cs="Arial"/>
      <w:sz w:val="24"/>
    </w:rPr>
  </w:style>
  <w:style w:type="paragraph" w:styleId="Heading3">
    <w:name w:val="heading 3"/>
    <w:basedOn w:val="Normal"/>
    <w:next w:val="Normal"/>
    <w:qFormat/>
    <w:pPr>
      <w:keepNext w:val="true"/>
      <w:numPr>
        <w:ilvl w:val="2"/>
        <w:numId w:val="1"/>
      </w:numPr>
      <w:tabs>
        <w:tab w:val="right" w:pos="450" w:leader="none"/>
        <w:tab w:val="left" w:pos="720" w:leader="none"/>
      </w:tabs>
      <w:outlineLvl w:val="2"/>
    </w:pPr>
    <w:rPr>
      <w:rFonts w:ascii="Arial" w:hAnsi="Arial" w:cs="Arial"/>
      <w:b/>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4" w:space="1" w:color="000000"/>
        <w:bottom w:val="single" w:sz="4" w:space="1" w:color="000000"/>
      </w:pBdr>
      <w:jc w:val="center"/>
    </w:pPr>
    <w:rPr>
      <w:rFonts w:ascii="Arial" w:hAnsi="Arial" w:cs="Arial"/>
      <w:b/>
      <w:sz w:val="5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Wind Memo Template.dot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2002-04-04T23:09:00Z</dcterms:created>
  <dc:creator>Kelly Chambers</dc:creator>
  <dc:description/>
  <dc:language>en-CA</dc:language>
  <cp:lastModifiedBy>Valued Gateway Client</cp:lastModifiedBy>
  <cp:lastPrinted>2002-03-04T08:38:00Z</cp:lastPrinted>
  <dcterms:modified xsi:type="dcterms:W3CDTF">2002-04-04T16:59:00Z</dcterms:modified>
  <cp:revision>14</cp:revision>
  <dc:subject/>
  <dc:title>MEMORANDUM</dc:title>
</cp:coreProperties>
</file>