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MEMORANDUM</w:t>
      </w:r>
    </w:p>
    <w:p>
      <w:pPr>
        <w:pStyle w:val="Normal"/>
        <w:rPr/>
      </w:pPr>
      <w:r>
        <w:rPr/>
      </w:r>
    </w:p>
    <w:p>
      <w:pPr>
        <w:pStyle w:val="Heading2"/>
        <w:ind w:hanging="0" w:start="0"/>
        <w:rPr/>
      </w:pPr>
      <w:r>
        <w:rPr/>
      </w:r>
    </w:p>
    <w:p>
      <w:pPr>
        <w:pStyle w:val="Heading2"/>
        <w:ind w:hanging="0" w:start="0"/>
        <w:rPr/>
      </w:pPr>
      <w:r>
        <w:rPr/>
        <w:t>Date:</w:t>
        <w:tab/>
        <w:t xml:space="preserve"> </w:t>
        <w:tab/>
        <w:t>July 12, 2001</w:t>
      </w:r>
    </w:p>
    <w:p>
      <w:pPr>
        <w:pStyle w:val="Normal"/>
        <w:rPr/>
      </w:pPr>
      <w:r>
        <w:rPr/>
      </w:r>
    </w:p>
    <w:p>
      <w:pPr>
        <w:pStyle w:val="Heading2"/>
        <w:ind w:hanging="0" w:start="0"/>
        <w:rPr/>
      </w:pPr>
      <w:r>
        <w:rPr/>
        <w:t>To:</w:t>
        <w:tab/>
        <w:t xml:space="preserve"> </w:t>
        <w:tab/>
        <w:t>Larry Campbell</w:t>
      </w:r>
    </w:p>
    <w:p>
      <w:pPr>
        <w:pStyle w:val="Heading2"/>
        <w:ind w:firstLine="720" w:start="720" w:end="0"/>
        <w:rPr/>
      </w:pPr>
      <w:r>
        <w:rPr/>
        <w:t>Enron Transportation Services Company</w:t>
      </w:r>
    </w:p>
    <w:p>
      <w:pPr>
        <w:pStyle w:val="Normal"/>
        <w:rPr>
          <w:sz w:val="24"/>
        </w:rPr>
      </w:pPr>
      <w:r>
        <w:rPr>
          <w:sz w:val="24"/>
        </w:rPr>
      </w:r>
    </w:p>
    <w:p>
      <w:pPr>
        <w:pStyle w:val="Normal"/>
        <w:rPr>
          <w:sz w:val="24"/>
        </w:rPr>
      </w:pPr>
      <w:r>
        <w:rPr>
          <w:sz w:val="24"/>
        </w:rPr>
        <w:t>From:</w:t>
        <w:tab/>
        <w:tab/>
        <w:t>Bill Glushko</w:t>
      </w:r>
    </w:p>
    <w:p>
      <w:pPr>
        <w:pStyle w:val="Normal"/>
        <w:rPr>
          <w:sz w:val="24"/>
        </w:rPr>
      </w:pPr>
      <w:r>
        <w:rPr>
          <w:sz w:val="24"/>
        </w:rPr>
        <w:tab/>
        <w:tab/>
        <w:t>Argent Consulting Services</w:t>
      </w:r>
    </w:p>
    <w:p>
      <w:pPr>
        <w:pStyle w:val="Normal"/>
        <w:rPr>
          <w:sz w:val="24"/>
        </w:rPr>
      </w:pPr>
      <w:r>
        <w:rPr>
          <w:sz w:val="24"/>
        </w:rPr>
      </w:r>
    </w:p>
    <w:p>
      <w:pPr>
        <w:pStyle w:val="Normal"/>
        <w:rPr>
          <w:sz w:val="24"/>
        </w:rPr>
      </w:pPr>
      <w:r>
        <w:rPr>
          <w:sz w:val="24"/>
        </w:rPr>
        <w:t>Re:</w:t>
        <w:tab/>
        <w:tab/>
        <w:t>EOTT P/L Tanks, Midland Region: Compliance Database (SIC 4612, not 5171)</w:t>
      </w:r>
    </w:p>
    <w:p>
      <w:pPr>
        <w:pStyle w:val="Normal"/>
        <w:rPr>
          <w:sz w:val="24"/>
        </w:rPr>
      </w:pPr>
      <w:r>
        <w:rPr>
          <w:sz w:val="24"/>
        </w:rPr>
        <w:t>________________________________________________________________________________</w:t>
      </w:r>
    </w:p>
    <w:p>
      <w:pPr>
        <w:pStyle w:val="Normal"/>
        <w:rPr>
          <w:sz w:val="24"/>
        </w:rPr>
      </w:pPr>
      <w:r>
        <w:rPr>
          <w:sz w:val="24"/>
        </w:rPr>
      </w:r>
    </w:p>
    <w:p>
      <w:pPr>
        <w:pStyle w:val="Normal"/>
        <w:numPr>
          <w:ilvl w:val="0"/>
          <w:numId w:val="3"/>
        </w:numPr>
        <w:rPr>
          <w:sz w:val="24"/>
        </w:rPr>
      </w:pPr>
      <w:r>
        <w:rPr>
          <w:sz w:val="24"/>
          <w:u w:val="single"/>
        </w:rPr>
        <w:t>Tank compliance database, general</w:t>
      </w:r>
      <w:r>
        <w:rPr>
          <w:sz w:val="24"/>
        </w:rPr>
        <w:t>.  The database, which included 366 tanks at the onset, has been reduced to 106 EOTT P/L tanks.  Tanks operated by EOTT Trucking; non-EOTT tanks;  tanks sold, removed, duplicated, or otherwise listed in error, were removed (and saved in another file).  Of the 106 tanks listed, 80 are active, 12 are inactive, 10 are permanently out-of-service, and 4 are abandoned in place.</w:t>
      </w:r>
    </w:p>
    <w:p>
      <w:pPr>
        <w:pStyle w:val="Normal"/>
        <w:rPr>
          <w:sz w:val="24"/>
          <w:u w:val="single"/>
        </w:rPr>
      </w:pPr>
      <w:r>
        <w:rPr>
          <w:sz w:val="24"/>
          <w:u w:val="single"/>
        </w:rPr>
      </w:r>
    </w:p>
    <w:p>
      <w:pPr>
        <w:pStyle w:val="Normal"/>
        <w:ind w:start="360" w:end="0"/>
        <w:rPr>
          <w:sz w:val="24"/>
        </w:rPr>
      </w:pPr>
      <w:r>
        <w:rPr>
          <w:sz w:val="24"/>
        </w:rPr>
        <w:t xml:space="preserve">Information was compiled from acquisition documents and via multiple telephone/fax inquiries with EOTT field personnel.  With the exception of legal description (completely unverified) and annual throughput (estimated), the information in the database should be 98% accurate. </w:t>
      </w:r>
    </w:p>
    <w:p>
      <w:pPr>
        <w:pStyle w:val="Normal"/>
        <w:ind w:start="360" w:end="0"/>
        <w:rPr>
          <w:sz w:val="24"/>
        </w:rPr>
      </w:pPr>
      <w:r>
        <w:rPr>
          <w:sz w:val="24"/>
        </w:rPr>
      </w:r>
    </w:p>
    <w:p>
      <w:pPr>
        <w:pStyle w:val="Normal"/>
        <w:numPr>
          <w:ilvl w:val="0"/>
          <w:numId w:val="3"/>
        </w:numPr>
        <w:rPr>
          <w:sz w:val="24"/>
        </w:rPr>
      </w:pPr>
      <w:r>
        <w:rPr>
          <w:sz w:val="24"/>
          <w:u w:val="single"/>
        </w:rPr>
        <w:t>SIC Code</w:t>
      </w:r>
      <w:r>
        <w:rPr>
          <w:sz w:val="24"/>
        </w:rPr>
        <w:t xml:space="preserve">.  The initial review of SIC classifications for the EOTT crude oil tanks indicated that </w:t>
      </w:r>
    </w:p>
    <w:p>
      <w:pPr>
        <w:pStyle w:val="Normal"/>
        <w:ind w:firstLine="360" w:end="0"/>
        <w:rPr>
          <w:sz w:val="24"/>
        </w:rPr>
      </w:pPr>
      <w:r>
        <w:rPr>
          <w:sz w:val="24"/>
        </w:rPr>
        <w:t xml:space="preserve">both  SIC code 4612 Crude Petroleum Pipeline and SIC code 5171 Petroleum Bulk Station were </w:t>
      </w:r>
    </w:p>
    <w:p>
      <w:pPr>
        <w:pStyle w:val="Normal"/>
        <w:ind w:firstLine="360" w:end="0"/>
        <w:rPr>
          <w:sz w:val="24"/>
        </w:rPr>
      </w:pPr>
      <w:r>
        <w:rPr>
          <w:sz w:val="24"/>
        </w:rPr>
        <w:t xml:space="preserve">appropriate and both should be used.  However, because SIC 5171 requires paying an annual </w:t>
      </w:r>
    </w:p>
    <w:p>
      <w:pPr>
        <w:pStyle w:val="Normal"/>
        <w:ind w:firstLine="360" w:end="0"/>
        <w:rPr>
          <w:sz w:val="24"/>
        </w:rPr>
      </w:pPr>
      <w:r>
        <w:rPr>
          <w:sz w:val="24"/>
        </w:rPr>
        <w:t xml:space="preserve">inspection fee when specific tank farm storage capacities are exceeded, a more scrutinous </w:t>
      </w:r>
    </w:p>
    <w:p>
      <w:pPr>
        <w:pStyle w:val="Normal"/>
        <w:ind w:firstLine="360" w:end="0"/>
        <w:rPr>
          <w:sz w:val="24"/>
        </w:rPr>
      </w:pPr>
      <w:r>
        <w:rPr>
          <w:sz w:val="24"/>
        </w:rPr>
        <w:t xml:space="preserve">review was performed.  Based on this second review, Argent feels that a very strong argument </w:t>
      </w:r>
    </w:p>
    <w:p>
      <w:pPr>
        <w:pStyle w:val="Normal"/>
        <w:ind w:firstLine="360" w:end="0"/>
        <w:rPr/>
      </w:pPr>
      <w:r>
        <w:rPr>
          <w:sz w:val="24"/>
        </w:rPr>
        <w:t xml:space="preserve">can be made that the appropriate SIC code for the EOTT P/L tank sites is 4612, and </w:t>
      </w:r>
      <w:r>
        <w:rPr>
          <w:sz w:val="24"/>
          <w:u w:val="single"/>
        </w:rPr>
        <w:t>only</w:t>
      </w:r>
      <w:r>
        <w:rPr>
          <w:sz w:val="24"/>
        </w:rPr>
        <w:t xml:space="preserve"> 4612.  </w:t>
      </w:r>
    </w:p>
    <w:p>
      <w:pPr>
        <w:pStyle w:val="Normal"/>
        <w:ind w:firstLine="360" w:end="0"/>
        <w:rPr>
          <w:sz w:val="24"/>
        </w:rPr>
      </w:pPr>
      <w:r>
        <w:rPr>
          <w:sz w:val="24"/>
        </w:rPr>
      </w:r>
    </w:p>
    <w:p>
      <w:pPr>
        <w:pStyle w:val="Normal"/>
        <w:ind w:firstLine="360" w:end="0"/>
        <w:rPr/>
      </w:pPr>
      <w:r>
        <w:rPr>
          <w:sz w:val="24"/>
        </w:rPr>
        <w:t xml:space="preserve">The basis for </w:t>
      </w:r>
      <w:r>
        <w:rPr>
          <w:sz w:val="24"/>
          <w:u w:val="single"/>
        </w:rPr>
        <w:t>not</w:t>
      </w:r>
      <w:r>
        <w:rPr>
          <w:sz w:val="24"/>
        </w:rPr>
        <w:t xml:space="preserve"> using 5171 is that SIC codes in the 5100-5199 series pertain (by definition) to </w:t>
      </w:r>
    </w:p>
    <w:p>
      <w:pPr>
        <w:pStyle w:val="Normal"/>
        <w:ind w:start="360" w:end="0"/>
        <w:rPr/>
      </w:pPr>
      <w:r>
        <w:rPr>
          <w:sz w:val="24"/>
          <w:u w:val="single"/>
        </w:rPr>
        <w:t>wholesale trade</w:t>
      </w:r>
      <w:r>
        <w:rPr>
          <w:sz w:val="24"/>
        </w:rPr>
        <w:t xml:space="preserve">.  Thus, whereas crude oil pipeline storage tanks that change of custody transfer crude in (or out) using tank trucks might be appropriately classified as SIC 5171, the breakout tanks on the EOTT crude P/L (where no wholesale transfers are occurring) are simply “wide spots” in the pipeline, and should only be classified as such. </w:t>
      </w:r>
    </w:p>
    <w:p>
      <w:pPr>
        <w:pStyle w:val="Normal"/>
        <w:ind w:start="360" w:end="0"/>
        <w:rPr>
          <w:sz w:val="24"/>
          <w:u w:val="single"/>
        </w:rPr>
      </w:pPr>
      <w:r>
        <w:rPr>
          <w:sz w:val="24"/>
          <w:u w:val="single"/>
        </w:rPr>
      </w:r>
    </w:p>
    <w:p>
      <w:pPr>
        <w:pStyle w:val="Normal"/>
        <w:ind w:start="360" w:end="0"/>
        <w:rPr>
          <w:sz w:val="24"/>
        </w:rPr>
      </w:pPr>
      <w:r>
        <w:rPr>
          <w:sz w:val="24"/>
        </w:rPr>
        <w:t xml:space="preserve">The argument for classifying pipeline breakout tanks as only SIC 4612  was discussed in detail with TNRCC’s Duncan Stewart (512 239-1906) and Paul Henry (239-1527).    Both agreed that since the tanks were not involved in “wholesale trade” only 4612  should be used.  </w:t>
      </w:r>
    </w:p>
    <w:p>
      <w:pPr>
        <w:pStyle w:val="Normal"/>
        <w:rPr>
          <w:sz w:val="24"/>
        </w:rPr>
      </w:pPr>
      <w:r>
        <w:rPr>
          <w:sz w:val="24"/>
        </w:rPr>
      </w:r>
    </w:p>
    <w:p>
      <w:pPr>
        <w:pStyle w:val="Normal"/>
        <w:numPr>
          <w:ilvl w:val="0"/>
          <w:numId w:val="6"/>
        </w:numPr>
        <w:rPr>
          <w:sz w:val="24"/>
        </w:rPr>
      </w:pPr>
      <w:r>
        <w:rPr>
          <w:sz w:val="24"/>
          <w:u w:val="single"/>
        </w:rPr>
        <w:t>Permit issues</w:t>
      </w:r>
      <w:r>
        <w:rPr>
          <w:sz w:val="24"/>
        </w:rPr>
        <w:t xml:space="preserve">. </w:t>
      </w:r>
    </w:p>
    <w:p>
      <w:pPr>
        <w:pStyle w:val="Heading6"/>
        <w:rPr/>
      </w:pPr>
      <w:r>
        <w:rPr/>
        <w:t>Federal</w:t>
      </w:r>
    </w:p>
    <w:p>
      <w:pPr>
        <w:pStyle w:val="Normal"/>
        <w:rPr/>
      </w:pPr>
      <w:r>
        <w:rPr/>
      </w:r>
    </w:p>
    <w:p>
      <w:pPr>
        <w:pStyle w:val="Normal"/>
        <w:numPr>
          <w:ilvl w:val="0"/>
          <w:numId w:val="4"/>
        </w:numPr>
        <w:rPr>
          <w:sz w:val="24"/>
        </w:rPr>
      </w:pPr>
      <w:r>
        <w:rPr>
          <w:sz w:val="24"/>
        </w:rPr>
        <w:t>Title V permit concerns do not appear to be a problem.  Electric pumps are the norm  at EOTT tank farms, so site emissions are exclusively from the tanks and do not exceed 100 TPY.  (Only Crane Station has a Title V permit).  Argent makes this statement based on “worst case” calculations using EPA TANKS 4.0 which indicated that in a:</w:t>
      </w:r>
    </w:p>
    <w:p>
      <w:pPr>
        <w:pStyle w:val="Normal"/>
        <w:ind w:start="360" w:end="0"/>
        <w:rPr>
          <w:sz w:val="24"/>
        </w:rPr>
      </w:pPr>
      <w:r>
        <w:rPr>
          <w:sz w:val="24"/>
        </w:rPr>
      </w:r>
    </w:p>
    <w:p>
      <w:pPr>
        <w:pStyle w:val="Normal"/>
        <w:ind w:firstLine="720" w:start="720" w:end="0"/>
        <w:rPr>
          <w:sz w:val="24"/>
        </w:rPr>
      </w:pPr>
      <w:r>
        <w:rPr>
          <w:sz w:val="24"/>
        </w:rPr>
        <w:t xml:space="preserve">5,000 bbl fixed roof tank:  3.6 MM bbls of RVP 5 crude throughput  (i.e., 720 turnovers) produced annual emissions of 48 tons (2 tpy breathing loss, 46 tpy working loss). </w:t>
      </w:r>
    </w:p>
    <w:p>
      <w:pPr>
        <w:pStyle w:val="Normal"/>
        <w:ind w:start="360" w:end="0"/>
        <w:rPr>
          <w:sz w:val="24"/>
        </w:rPr>
      </w:pPr>
      <w:r>
        <w:rPr>
          <w:sz w:val="24"/>
        </w:rPr>
      </w:r>
    </w:p>
    <w:p>
      <w:pPr>
        <w:pStyle w:val="Normal"/>
        <w:ind w:firstLine="720" w:start="720" w:end="0"/>
        <w:rPr>
          <w:sz w:val="24"/>
        </w:rPr>
      </w:pPr>
      <w:r>
        <w:rPr>
          <w:sz w:val="24"/>
        </w:rPr>
        <w:t xml:space="preserve">55,000 bbl EFR tank:  14.0 MM bbls of RVP 5 crude throughput  (i.e., 255 turnovers) produced annual emissions of 9 tons (6 tpy breathing loss, 3 tpy working loss). </w:t>
      </w:r>
    </w:p>
    <w:p>
      <w:pPr>
        <w:pStyle w:val="Normal"/>
        <w:ind w:start="360" w:end="0"/>
        <w:rPr>
          <w:sz w:val="24"/>
        </w:rPr>
      </w:pPr>
      <w:r>
        <w:rPr>
          <w:sz w:val="24"/>
        </w:rPr>
      </w:r>
    </w:p>
    <w:p>
      <w:pPr>
        <w:pStyle w:val="Normal"/>
        <w:ind w:firstLine="720" w:start="720" w:end="0"/>
        <w:rPr>
          <w:sz w:val="24"/>
        </w:rPr>
      </w:pPr>
      <w:r>
        <w:rPr>
          <w:sz w:val="24"/>
        </w:rPr>
        <w:t xml:space="preserve">55,000 bbl fixed roof tank:  14.0 MM bbls of RVP 5 crude throughput  (i.e., 255 turnovers) produced annual emissions of 4 tons (1 tpy breathing loss, 3 tpy working loss). </w:t>
      </w:r>
    </w:p>
    <w:p>
      <w:pPr>
        <w:pStyle w:val="Normal"/>
        <w:ind w:start="360" w:end="0"/>
        <w:rPr>
          <w:sz w:val="24"/>
        </w:rPr>
      </w:pPr>
      <w:r>
        <w:rPr>
          <w:sz w:val="24"/>
        </w:rPr>
      </w:r>
    </w:p>
    <w:p>
      <w:pPr>
        <w:pStyle w:val="Normal"/>
        <w:ind w:start="360" w:end="0"/>
        <w:rPr>
          <w:sz w:val="24"/>
        </w:rPr>
      </w:pPr>
      <w:r>
        <w:rPr>
          <w:sz w:val="24"/>
        </w:rPr>
      </w:r>
    </w:p>
    <w:p>
      <w:pPr>
        <w:pStyle w:val="Normal"/>
        <w:ind w:firstLine="360" w:start="360" w:end="0"/>
        <w:rPr/>
      </w:pPr>
      <w:r>
        <w:rPr>
          <w:sz w:val="24"/>
          <w:u w:val="single"/>
        </w:rPr>
        <w:t>State</w:t>
      </w:r>
      <w:r>
        <w:rPr>
          <w:sz w:val="24"/>
        </w:rPr>
        <w:t xml:space="preserve"> </w:t>
      </w:r>
    </w:p>
    <w:p>
      <w:pPr>
        <w:pStyle w:val="Normal"/>
        <w:ind w:start="360" w:end="0"/>
        <w:rPr>
          <w:sz w:val="24"/>
        </w:rPr>
      </w:pPr>
      <w:r>
        <w:rPr>
          <w:sz w:val="24"/>
        </w:rPr>
      </w:r>
    </w:p>
    <w:p>
      <w:pPr>
        <w:pStyle w:val="Normal"/>
        <w:numPr>
          <w:ilvl w:val="0"/>
          <w:numId w:val="4"/>
        </w:numPr>
        <w:rPr>
          <w:sz w:val="24"/>
        </w:rPr>
      </w:pPr>
      <w:r>
        <w:rPr>
          <w:sz w:val="24"/>
        </w:rPr>
        <w:t xml:space="preserve">State permit concerns do not appear to be a problem.  Sixty-three (63) of the 106 tanks were constructed before 1971 (and not modified or reconstructed). These tanks are grandfathered and require no permit as long as total site emissions are &lt; 100 TPY (the level at which a Federal Title V site permit is required).  </w:t>
      </w:r>
    </w:p>
    <w:p>
      <w:pPr>
        <w:pStyle w:val="Normal"/>
        <w:ind w:firstLine="360" w:start="360" w:end="0"/>
        <w:rPr>
          <w:sz w:val="24"/>
        </w:rPr>
      </w:pPr>
      <w:r>
        <w:rPr>
          <w:sz w:val="24"/>
        </w:rPr>
      </w:r>
    </w:p>
    <w:p>
      <w:pPr>
        <w:pStyle w:val="Normal"/>
        <w:ind w:start="720" w:end="0"/>
        <w:rPr>
          <w:sz w:val="24"/>
        </w:rPr>
      </w:pPr>
      <w:r>
        <w:rPr>
          <w:sz w:val="24"/>
        </w:rPr>
        <w:t>All of the EOTT Texas tanks of any size constructed/modified/reconstructed after 1971 and equipped with a floating roof are exempt under Standard Exemption 86, currently known as Permit-by-Rule 106.478.   None of the tanks store material with a true vapor pressure above 11.0 psia, and total actual VOC emissions authorized under exemption from any site does not exceed the 30 TAC 106.4 limit of 25 tpy.   No registration for the exemption is necessary, since the tanks are not located in a nonattainment county for ozone.</w:t>
      </w:r>
    </w:p>
    <w:p>
      <w:pPr>
        <w:pStyle w:val="Normal"/>
        <w:ind w:firstLine="360" w:start="360" w:end="0"/>
        <w:rPr>
          <w:sz w:val="24"/>
        </w:rPr>
      </w:pPr>
      <w:r>
        <w:rPr>
          <w:sz w:val="24"/>
        </w:rPr>
      </w:r>
    </w:p>
    <w:p>
      <w:pPr>
        <w:pStyle w:val="Normal"/>
        <w:ind w:start="720" w:end="0"/>
        <w:rPr>
          <w:sz w:val="24"/>
        </w:rPr>
      </w:pPr>
      <w:r>
        <w:rPr>
          <w:sz w:val="24"/>
        </w:rPr>
        <w:t xml:space="preserve">New Mexico’s permitting program for petroleum storage tanks is being developed but,  currently, there are no requirements. Therefore, all EOTT tanks in New Mexico meet state permit requirements.  However, when finalized, the control requirements for tanks in New Mexico will not be more stringent than the federal NSPS Subpart Kb.  Therefore, a tank equipped with a floating roof would be authorized to store petroleum product with a true vapor pressure up to 11.0 psia.   Only the four fixed roof tanks at Maljamar and the one at Loco Hills could be affected. </w:t>
      </w:r>
    </w:p>
    <w:p>
      <w:pPr>
        <w:pStyle w:val="Normal"/>
        <w:rPr>
          <w:sz w:val="24"/>
        </w:rPr>
      </w:pPr>
      <w:r>
        <w:rPr>
          <w:sz w:val="24"/>
        </w:rPr>
      </w:r>
    </w:p>
    <w:p>
      <w:pPr>
        <w:pStyle w:val="Normal"/>
        <w:numPr>
          <w:ilvl w:val="0"/>
          <w:numId w:val="6"/>
        </w:numPr>
        <w:rPr>
          <w:sz w:val="24"/>
        </w:rPr>
      </w:pPr>
      <w:r>
        <w:rPr>
          <w:sz w:val="24"/>
          <w:u w:val="single"/>
        </w:rPr>
        <w:t>Recordkeeping and inspection issues</w:t>
      </w:r>
      <w:r>
        <w:rPr>
          <w:sz w:val="24"/>
        </w:rPr>
        <w:t xml:space="preserve">.  The grandfathered tanks have no requirements. For tanks subject to NSPS Subpart K, only capacity data is required.  Tanks subject to Ka and Kb require inspection, repairs if warranted, and recordkeeping.  </w:t>
      </w:r>
    </w:p>
    <w:p>
      <w:pPr>
        <w:pStyle w:val="Normal"/>
        <w:rPr>
          <w:sz w:val="24"/>
        </w:rPr>
      </w:pPr>
      <w:r>
        <w:rPr>
          <w:sz w:val="24"/>
        </w:rPr>
      </w:r>
    </w:p>
    <w:p>
      <w:pPr>
        <w:pStyle w:val="Normal"/>
        <w:ind w:firstLine="360" w:end="0"/>
        <w:rPr>
          <w:sz w:val="24"/>
        </w:rPr>
      </w:pPr>
      <w:r>
        <w:rPr>
          <w:sz w:val="24"/>
        </w:rPr>
        <w:t xml:space="preserve">Note: Especially for some of the older tanks, neither a manufacturer’s identification plate or </w:t>
      </w:r>
    </w:p>
    <w:p>
      <w:pPr>
        <w:pStyle w:val="Normal"/>
        <w:ind w:start="360" w:end="0"/>
        <w:rPr>
          <w:sz w:val="24"/>
        </w:rPr>
      </w:pPr>
      <w:r>
        <w:rPr>
          <w:sz w:val="24"/>
        </w:rPr>
        <w:t>strapping table is available.  However, declaration of grandfathered status is the company’s decision; the burden to prove otherwise is the responsibility of the regulatory agency.</w:t>
      </w:r>
    </w:p>
    <w:p>
      <w:pPr>
        <w:pStyle w:val="Normal"/>
        <w:ind w:start="360" w:end="0"/>
        <w:rPr>
          <w:sz w:val="24"/>
        </w:rPr>
      </w:pPr>
      <w:r>
        <w:rPr>
          <w:sz w:val="24"/>
        </w:rPr>
      </w:r>
    </w:p>
    <w:p>
      <w:pPr>
        <w:pStyle w:val="Normal"/>
        <w:numPr>
          <w:ilvl w:val="0"/>
          <w:numId w:val="6"/>
        </w:numPr>
        <w:rPr>
          <w:sz w:val="24"/>
        </w:rPr>
      </w:pPr>
      <w:r>
        <w:rPr>
          <w:sz w:val="24"/>
          <w:u w:val="single"/>
        </w:rPr>
        <w:t>Specific compliance/requirements summary</w:t>
      </w:r>
      <w:r>
        <w:rPr>
          <w:sz w:val="24"/>
        </w:rPr>
        <w:t>.  The tabled information identifies the following:</w:t>
      </w:r>
    </w:p>
    <w:p>
      <w:pPr>
        <w:pStyle w:val="Normal"/>
        <w:rPr>
          <w:sz w:val="24"/>
          <w:u w:val="single"/>
        </w:rPr>
      </w:pPr>
      <w:r>
        <w:rPr>
          <w:sz w:val="24"/>
          <w:u w:val="single"/>
        </w:rPr>
      </w:r>
    </w:p>
    <w:p>
      <w:pPr>
        <w:pStyle w:val="Heading7"/>
        <w:rPr/>
      </w:pPr>
      <w:r>
        <w:rPr/>
        <w:t>Federal</w:t>
      </w:r>
    </w:p>
    <w:p>
      <w:pPr>
        <w:pStyle w:val="Normal"/>
        <w:numPr>
          <w:ilvl w:val="0"/>
          <w:numId w:val="5"/>
        </w:numPr>
        <w:rPr>
          <w:sz w:val="24"/>
        </w:rPr>
      </w:pPr>
      <w:r>
        <w:rPr>
          <w:sz w:val="24"/>
        </w:rPr>
        <w:t>2 tanks (McElroy 58005, Loco Hills 4602) may not be meeting NSPS control requirements</w:t>
      </w:r>
    </w:p>
    <w:p>
      <w:pPr>
        <w:pStyle w:val="Normal"/>
        <w:numPr>
          <w:ilvl w:val="0"/>
          <w:numId w:val="5"/>
        </w:numPr>
        <w:rPr>
          <w:sz w:val="24"/>
        </w:rPr>
      </w:pPr>
      <w:r>
        <w:rPr>
          <w:sz w:val="24"/>
        </w:rPr>
        <w:t>4 tanks (Maljamar 1519-1522)  may not be meeting NSPS control requirements</w:t>
      </w:r>
    </w:p>
    <w:p>
      <w:pPr>
        <w:pStyle w:val="Normal"/>
        <w:ind w:start="720" w:end="0"/>
        <w:rPr>
          <w:sz w:val="24"/>
        </w:rPr>
      </w:pPr>
      <w:r>
        <w:rPr>
          <w:sz w:val="24"/>
        </w:rPr>
      </w:r>
    </w:p>
    <w:p>
      <w:pPr>
        <w:pStyle w:val="Normal"/>
        <w:ind w:start="720" w:end="0"/>
        <w:rPr>
          <w:sz w:val="24"/>
        </w:rPr>
      </w:pPr>
      <w:r>
        <w:rPr>
          <w:sz w:val="24"/>
        </w:rPr>
        <w:t>(All are cone tanks,  subject to Ka/Kb.  Based on a capacity &gt; 472 bbls and product true vapor pressure &gt; 2.18 psia, the tanks require a floating roof or closed vent system);</w:t>
      </w:r>
    </w:p>
    <w:p>
      <w:pPr>
        <w:pStyle w:val="Normal"/>
        <w:rPr>
          <w:sz w:val="24"/>
        </w:rPr>
      </w:pPr>
      <w:r>
        <w:rPr>
          <w:sz w:val="24"/>
        </w:rPr>
      </w:r>
    </w:p>
    <w:p>
      <w:pPr>
        <w:pStyle w:val="Normal"/>
        <w:ind w:start="720" w:end="0"/>
        <w:rPr>
          <w:b/>
          <w:sz w:val="24"/>
        </w:rPr>
      </w:pPr>
      <w:r>
        <w:rPr>
          <w:b/>
          <w:sz w:val="24"/>
        </w:rPr>
        <w:t>*Argent recommends verifying the existence of only a cone roof (no floater) … and checking the true vapor pressure of the material being stored.</w:t>
      </w:r>
    </w:p>
    <w:p>
      <w:pPr>
        <w:pStyle w:val="Normal"/>
        <w:rPr>
          <w:b/>
          <w:sz w:val="24"/>
        </w:rPr>
      </w:pPr>
      <w:r>
        <w:rPr>
          <w:b/>
          <w:sz w:val="24"/>
        </w:rPr>
      </w:r>
    </w:p>
    <w:p>
      <w:pPr>
        <w:pStyle w:val="Normal"/>
        <w:numPr>
          <w:ilvl w:val="0"/>
          <w:numId w:val="2"/>
        </w:numPr>
        <w:rPr>
          <w:sz w:val="24"/>
        </w:rPr>
      </w:pPr>
      <w:r>
        <w:rPr>
          <w:sz w:val="24"/>
        </w:rPr>
        <w:t>28 tanks at 18 sites subject to NSPS K/Ka/Kb inspection and/or recordkeeping requirements:</w:t>
      </w:r>
    </w:p>
    <w:p>
      <w:pPr>
        <w:pStyle w:val="Normal"/>
        <w:ind w:firstLine="720" w:start="720" w:end="0"/>
        <w:rPr>
          <w:sz w:val="24"/>
        </w:rPr>
      </w:pPr>
      <w:r>
        <w:rPr>
          <w:sz w:val="24"/>
        </w:rPr>
        <w:t>K (recordkeeping of tank capacity, dimensions only):</w:t>
      </w:r>
    </w:p>
    <w:p>
      <w:pPr>
        <w:pStyle w:val="Normal"/>
        <w:ind w:firstLine="720" w:start="1440" w:end="0"/>
        <w:rPr>
          <w:sz w:val="24"/>
        </w:rPr>
      </w:pPr>
      <w:r>
        <w:rPr>
          <w:sz w:val="24"/>
        </w:rPr>
        <w:t xml:space="preserve">Foster 787, 790 </w:t>
      </w:r>
    </w:p>
    <w:p>
      <w:pPr>
        <w:pStyle w:val="Normal"/>
        <w:ind w:firstLine="720" w:start="1440" w:end="0"/>
        <w:rPr>
          <w:sz w:val="24"/>
        </w:rPr>
      </w:pPr>
      <w:r>
        <w:rPr>
          <w:sz w:val="24"/>
        </w:rPr>
        <w:t>Quito-Hendrick 58044</w:t>
      </w:r>
    </w:p>
    <w:p>
      <w:pPr>
        <w:pStyle w:val="Normal"/>
        <w:ind w:firstLine="720" w:start="1440" w:end="0"/>
        <w:rPr>
          <w:sz w:val="24"/>
        </w:rPr>
      </w:pPr>
      <w:r>
        <w:rPr>
          <w:sz w:val="24"/>
        </w:rPr>
        <w:t>Sands 15089A</w:t>
      </w:r>
    </w:p>
    <w:p>
      <w:pPr>
        <w:pStyle w:val="Normal"/>
        <w:ind w:firstLine="720" w:start="1440" w:end="0"/>
        <w:rPr>
          <w:sz w:val="24"/>
        </w:rPr>
      </w:pPr>
      <w:r>
        <w:rPr>
          <w:sz w:val="24"/>
        </w:rPr>
        <w:t>Lynch 1511;</w:t>
      </w:r>
    </w:p>
    <w:p>
      <w:pPr>
        <w:pStyle w:val="Normal"/>
        <w:ind w:start="1440" w:end="0"/>
        <w:rPr>
          <w:sz w:val="24"/>
        </w:rPr>
      </w:pPr>
      <w:r>
        <w:rPr>
          <w:sz w:val="24"/>
        </w:rPr>
      </w:r>
    </w:p>
    <w:p>
      <w:pPr>
        <w:pStyle w:val="Normal"/>
        <w:ind w:firstLine="720" w:start="720" w:end="0"/>
        <w:rPr>
          <w:sz w:val="24"/>
        </w:rPr>
      </w:pPr>
      <w:r>
        <w:rPr>
          <w:sz w:val="24"/>
        </w:rPr>
        <w:t>Ka/Kb (inspection &amp; recordkeeping):</w:t>
      </w:r>
    </w:p>
    <w:p>
      <w:pPr>
        <w:pStyle w:val="Normal"/>
        <w:ind w:firstLine="720" w:end="0"/>
        <w:rPr>
          <w:sz w:val="24"/>
        </w:rPr>
      </w:pPr>
      <w:r>
        <w:rPr>
          <w:sz w:val="24"/>
        </w:rPr>
        <w:tab/>
        <w:tab/>
        <w:t>Burger 58018 (if returned to active status)</w:t>
      </w:r>
    </w:p>
    <w:p>
      <w:pPr>
        <w:pStyle w:val="Normal"/>
        <w:ind w:firstLine="720" w:start="1440" w:end="0"/>
        <w:rPr>
          <w:sz w:val="24"/>
        </w:rPr>
      </w:pPr>
      <w:r>
        <w:rPr>
          <w:sz w:val="24"/>
        </w:rPr>
        <w:t>China Grove 56007-56010</w:t>
      </w:r>
    </w:p>
    <w:p>
      <w:pPr>
        <w:pStyle w:val="Normal"/>
        <w:ind w:firstLine="720" w:end="0"/>
        <w:rPr>
          <w:sz w:val="24"/>
        </w:rPr>
      </w:pPr>
      <w:r>
        <w:rPr>
          <w:sz w:val="24"/>
        </w:rPr>
        <w:tab/>
        <w:tab/>
        <w:t>Garden City 56003</w:t>
      </w:r>
    </w:p>
    <w:p>
      <w:pPr>
        <w:pStyle w:val="Normal"/>
        <w:ind w:firstLine="720" w:start="1440" w:end="0"/>
        <w:rPr>
          <w:sz w:val="24"/>
        </w:rPr>
      </w:pPr>
      <w:r>
        <w:rPr>
          <w:sz w:val="24"/>
        </w:rPr>
        <w:t>Haskell, N. 58509 (if returned to active status)</w:t>
      </w:r>
    </w:p>
    <w:p>
      <w:pPr>
        <w:pStyle w:val="Normal"/>
        <w:ind w:firstLine="720" w:start="1440" w:end="0"/>
        <w:rPr>
          <w:sz w:val="24"/>
        </w:rPr>
      </w:pPr>
      <w:r>
        <w:rPr>
          <w:sz w:val="24"/>
        </w:rPr>
        <w:t>Haskell, S.  58023 (and 58022, if returned to active status)</w:t>
      </w:r>
    </w:p>
    <w:p>
      <w:pPr>
        <w:pStyle w:val="Normal"/>
        <w:ind w:firstLine="720" w:end="0"/>
        <w:rPr>
          <w:sz w:val="24"/>
        </w:rPr>
      </w:pPr>
      <w:r>
        <w:rPr>
          <w:sz w:val="24"/>
        </w:rPr>
        <w:tab/>
        <w:tab/>
        <w:t>McAfee 1523</w:t>
      </w:r>
    </w:p>
    <w:p>
      <w:pPr>
        <w:pStyle w:val="Normal"/>
        <w:ind w:firstLine="720" w:end="0"/>
        <w:rPr>
          <w:sz w:val="24"/>
        </w:rPr>
      </w:pPr>
      <w:r>
        <w:rPr>
          <w:sz w:val="24"/>
        </w:rPr>
        <w:tab/>
        <w:tab/>
        <w:t>McElroy 58005</w:t>
      </w:r>
    </w:p>
    <w:p>
      <w:pPr>
        <w:pStyle w:val="Normal"/>
        <w:ind w:firstLine="720" w:end="0"/>
        <w:rPr>
          <w:sz w:val="24"/>
        </w:rPr>
      </w:pPr>
      <w:r>
        <w:rPr>
          <w:sz w:val="24"/>
        </w:rPr>
        <w:tab/>
        <w:tab/>
        <w:t>Midland 1516</w:t>
      </w:r>
    </w:p>
    <w:p>
      <w:pPr>
        <w:pStyle w:val="Normal"/>
        <w:ind w:firstLine="720" w:end="0"/>
        <w:rPr>
          <w:sz w:val="24"/>
        </w:rPr>
      </w:pPr>
      <w:r>
        <w:rPr>
          <w:sz w:val="24"/>
        </w:rPr>
        <w:tab/>
        <w:tab/>
        <w:t>Scurry 1517</w:t>
      </w:r>
    </w:p>
    <w:p>
      <w:pPr>
        <w:pStyle w:val="Normal"/>
        <w:ind w:firstLine="720" w:end="0"/>
        <w:rPr>
          <w:sz w:val="24"/>
        </w:rPr>
      </w:pPr>
      <w:r>
        <w:rPr>
          <w:sz w:val="24"/>
        </w:rPr>
        <w:tab/>
        <w:tab/>
        <w:t>Wildfire 1524</w:t>
      </w:r>
    </w:p>
    <w:p>
      <w:pPr>
        <w:pStyle w:val="Normal"/>
        <w:ind w:firstLine="720" w:end="0"/>
        <w:rPr>
          <w:sz w:val="24"/>
        </w:rPr>
      </w:pPr>
      <w:r>
        <w:rPr>
          <w:sz w:val="24"/>
        </w:rPr>
        <w:tab/>
        <w:tab/>
        <w:t>Livingston-Ridge 68414</w:t>
      </w:r>
    </w:p>
    <w:p>
      <w:pPr>
        <w:pStyle w:val="Normal"/>
        <w:ind w:firstLine="720" w:end="0"/>
        <w:rPr>
          <w:sz w:val="24"/>
        </w:rPr>
      </w:pPr>
      <w:r>
        <w:rPr>
          <w:sz w:val="24"/>
        </w:rPr>
        <w:tab/>
        <w:tab/>
        <w:t>Loco Hills 4602, 68417, 68418</w:t>
      </w:r>
    </w:p>
    <w:p>
      <w:pPr>
        <w:pStyle w:val="Normal"/>
        <w:ind w:firstLine="720" w:end="0"/>
        <w:rPr>
          <w:sz w:val="24"/>
        </w:rPr>
      </w:pPr>
      <w:r>
        <w:rPr>
          <w:sz w:val="24"/>
        </w:rPr>
        <w:tab/>
        <w:tab/>
        <w:t>Maljamar 1519-1522</w:t>
      </w:r>
    </w:p>
    <w:p>
      <w:pPr>
        <w:pStyle w:val="Normal"/>
        <w:ind w:start="720" w:end="0"/>
        <w:rPr>
          <w:sz w:val="24"/>
        </w:rPr>
      </w:pPr>
      <w:r>
        <w:rPr>
          <w:sz w:val="24"/>
        </w:rPr>
        <w:tab/>
        <w:tab/>
        <w:t>Sonora 1515 (if returned to active status)</w:t>
      </w:r>
    </w:p>
    <w:p>
      <w:pPr>
        <w:pStyle w:val="Normal"/>
        <w:ind w:firstLine="720" w:start="1440" w:end="0"/>
        <w:rPr>
          <w:sz w:val="24"/>
        </w:rPr>
      </w:pPr>
      <w:r>
        <w:rPr>
          <w:sz w:val="24"/>
        </w:rPr>
        <w:t>Thomas 68413;</w:t>
      </w:r>
    </w:p>
    <w:p>
      <w:pPr>
        <w:pStyle w:val="Normal"/>
        <w:ind w:firstLine="720" w:start="1440" w:end="0"/>
        <w:rPr>
          <w:sz w:val="24"/>
        </w:rPr>
      </w:pPr>
      <w:r>
        <w:rPr>
          <w:sz w:val="24"/>
        </w:rPr>
      </w:r>
    </w:p>
    <w:p>
      <w:pPr>
        <w:pStyle w:val="BodyTextIndent2"/>
        <w:ind w:start="0" w:end="0"/>
        <w:rPr/>
      </w:pPr>
      <w:r>
        <w:rPr/>
        <w:t xml:space="preserve">*Argent recommends that the updated tank listing be distributed to, and validated by, </w:t>
      </w:r>
    </w:p>
    <w:p>
      <w:pPr>
        <w:pStyle w:val="BodyTextIndent2"/>
        <w:ind w:start="0" w:end="0"/>
        <w:rPr/>
      </w:pPr>
      <w:r>
        <w:rPr/>
        <w:t xml:space="preserve">each team in Midland Region; that required inspections be performed; and records </w:t>
      </w:r>
    </w:p>
    <w:p>
      <w:pPr>
        <w:pStyle w:val="BodyTextIndent2"/>
        <w:ind w:start="0" w:end="0"/>
        <w:rPr/>
      </w:pPr>
      <w:r>
        <w:rPr/>
        <w:t>kept on site.  Use of API Standard 653 inspection checklists are suggested.</w:t>
      </w:r>
    </w:p>
    <w:p>
      <w:pPr>
        <w:pStyle w:val="BodyTextIndent2"/>
        <w:rPr/>
      </w:pPr>
      <w:r>
        <w:rPr/>
      </w:r>
    </w:p>
    <w:p>
      <w:pPr>
        <w:pStyle w:val="Heading7"/>
        <w:rPr/>
      </w:pPr>
      <w:r>
        <w:rPr/>
        <w:t>State</w:t>
      </w:r>
    </w:p>
    <w:p>
      <w:pPr>
        <w:pStyle w:val="Normal"/>
        <w:rPr>
          <w:sz w:val="24"/>
        </w:rPr>
      </w:pPr>
      <w:r>
        <w:rPr>
          <w:sz w:val="24"/>
        </w:rPr>
      </w:r>
    </w:p>
    <w:p>
      <w:pPr>
        <w:pStyle w:val="Normal"/>
        <w:numPr>
          <w:ilvl w:val="0"/>
          <w:numId w:val="2"/>
        </w:numPr>
        <w:rPr>
          <w:sz w:val="24"/>
        </w:rPr>
      </w:pPr>
      <w:r>
        <w:rPr>
          <w:sz w:val="24"/>
        </w:rPr>
        <w:t xml:space="preserve">1 site (Title V permitted) has an emissions potential &gt; 100 tpy and is therefore required to remit a TNRCC emissions fee, due by 11/1 each year: </w:t>
      </w:r>
    </w:p>
    <w:p>
      <w:pPr>
        <w:pStyle w:val="Normal"/>
        <w:ind w:firstLine="720" w:start="720" w:end="0"/>
        <w:rPr>
          <w:sz w:val="24"/>
        </w:rPr>
      </w:pPr>
      <w:r>
        <w:rPr>
          <w:sz w:val="24"/>
        </w:rPr>
        <w:t xml:space="preserve">Crane  </w:t>
      </w:r>
    </w:p>
    <w:p>
      <w:pPr>
        <w:pStyle w:val="Normal"/>
        <w:ind w:firstLine="720" w:start="720" w:end="0"/>
        <w:rPr>
          <w:b/>
          <w:sz w:val="24"/>
        </w:rPr>
      </w:pPr>
      <w:r>
        <w:rPr>
          <w:b/>
          <w:sz w:val="24"/>
        </w:rPr>
      </w:r>
    </w:p>
    <w:p>
      <w:pPr>
        <w:pStyle w:val="Normal"/>
        <w:ind w:firstLine="360" w:start="360" w:end="0"/>
        <w:rPr>
          <w:b/>
          <w:sz w:val="24"/>
        </w:rPr>
      </w:pPr>
      <w:r>
        <w:rPr>
          <w:b/>
          <w:sz w:val="24"/>
        </w:rPr>
        <w:t xml:space="preserve">* Argent recommends that EOTT calculate and remit the TNRCC emissions fee for </w:t>
      </w:r>
    </w:p>
    <w:p>
      <w:pPr>
        <w:pStyle w:val="Normal"/>
        <w:ind w:start="720" w:end="0"/>
        <w:rPr>
          <w:b/>
          <w:sz w:val="24"/>
        </w:rPr>
      </w:pPr>
      <w:r>
        <w:rPr>
          <w:b/>
          <w:sz w:val="24"/>
        </w:rPr>
        <w:t>the applicable site by 11/1/01.</w:t>
      </w:r>
    </w:p>
    <w:p>
      <w:pPr>
        <w:pStyle w:val="Normal"/>
        <w:ind w:firstLine="720" w:end="0"/>
        <w:rPr>
          <w:b/>
          <w:sz w:val="24"/>
        </w:rPr>
      </w:pPr>
      <w:r>
        <w:rPr>
          <w:b/>
          <w:sz w:val="24"/>
        </w:rPr>
      </w:r>
    </w:p>
    <w:p>
      <w:pPr>
        <w:pStyle w:val="Normal"/>
        <w:numPr>
          <w:ilvl w:val="0"/>
          <w:numId w:val="2"/>
        </w:numPr>
        <w:rPr>
          <w:sz w:val="24"/>
        </w:rPr>
      </w:pPr>
      <w:r>
        <w:rPr>
          <w:sz w:val="24"/>
        </w:rPr>
        <w:t xml:space="preserve">10 sites are subject to an NSPS Subpart (i.e., K, Ka, Kb) and are therefore required to remit a  TNRCC emissions fee, due by 11/1 each year: </w:t>
      </w:r>
    </w:p>
    <w:p>
      <w:pPr>
        <w:pStyle w:val="Normal"/>
        <w:ind w:start="1440" w:end="0"/>
        <w:rPr>
          <w:sz w:val="24"/>
        </w:rPr>
      </w:pPr>
      <w:r>
        <w:rPr>
          <w:sz w:val="24"/>
        </w:rPr>
        <w:t>China Grove, Foster, Garden City, Haskell S., McAfee, McElroy, Midland, Quito-Hendrick, Scurry, Wildfire;</w:t>
      </w:r>
    </w:p>
    <w:p>
      <w:pPr>
        <w:pStyle w:val="Normal"/>
        <w:ind w:start="1440" w:end="0"/>
        <w:rPr>
          <w:sz w:val="24"/>
        </w:rPr>
      </w:pPr>
      <w:r>
        <w:rPr>
          <w:sz w:val="24"/>
        </w:rPr>
      </w:r>
    </w:p>
    <w:p>
      <w:pPr>
        <w:pStyle w:val="Normal"/>
        <w:ind w:firstLine="360" w:start="360" w:end="0"/>
        <w:rPr>
          <w:b/>
          <w:sz w:val="24"/>
        </w:rPr>
      </w:pPr>
      <w:r>
        <w:rPr>
          <w:b/>
          <w:sz w:val="24"/>
        </w:rPr>
        <w:t xml:space="preserve">* Argent recommends that EOTT calculate and remit the TNRCC emissions fee for </w:t>
      </w:r>
    </w:p>
    <w:p>
      <w:pPr>
        <w:pStyle w:val="Normal"/>
        <w:ind w:firstLine="360" w:start="360" w:end="0"/>
        <w:rPr>
          <w:b/>
          <w:sz w:val="24"/>
        </w:rPr>
      </w:pPr>
      <w:r>
        <w:rPr>
          <w:b/>
          <w:sz w:val="24"/>
        </w:rPr>
        <w:t xml:space="preserve">the applicable sites by 11/1/01. </w:t>
      </w:r>
    </w:p>
    <w:p>
      <w:pPr>
        <w:pStyle w:val="Normal"/>
        <w:ind w:start="720" w:end="0"/>
        <w:rPr>
          <w:b/>
          <w:sz w:val="24"/>
        </w:rPr>
      </w:pPr>
      <w:r>
        <w:rPr>
          <w:b/>
          <w:sz w:val="24"/>
        </w:rPr>
      </w:r>
    </w:p>
    <w:p>
      <w:pPr>
        <w:pStyle w:val="Normal"/>
        <w:numPr>
          <w:ilvl w:val="0"/>
          <w:numId w:val="2"/>
        </w:numPr>
        <w:rPr>
          <w:sz w:val="24"/>
        </w:rPr>
      </w:pPr>
      <w:r>
        <w:rPr>
          <w:sz w:val="24"/>
        </w:rPr>
        <w:t>8 sites need a TNRCC account number from the Regional office:</w:t>
      </w:r>
    </w:p>
    <w:p>
      <w:pPr>
        <w:pStyle w:val="Normal"/>
        <w:ind w:start="1440" w:end="0"/>
        <w:rPr>
          <w:sz w:val="24"/>
        </w:rPr>
      </w:pPr>
      <w:r>
        <w:rPr>
          <w:sz w:val="24"/>
        </w:rPr>
        <w:t xml:space="preserve">China Grove,  Haskell S., McAfee, McElroy, Midland, Quito-Hendrick, </w:t>
      </w:r>
    </w:p>
    <w:p>
      <w:pPr>
        <w:pStyle w:val="Normal"/>
        <w:ind w:firstLine="360" w:start="1080" w:end="0"/>
        <w:rPr/>
      </w:pPr>
      <w:r>
        <w:rPr>
          <w:sz w:val="24"/>
        </w:rPr>
        <w:t>Scurry, Wildfire;</w:t>
      </w:r>
      <w:r>
        <w:rPr>
          <w:b/>
          <w:sz w:val="24"/>
        </w:rPr>
        <w:t xml:space="preserve"> </w:t>
      </w:r>
    </w:p>
    <w:p>
      <w:pPr>
        <w:pStyle w:val="Normal"/>
        <w:ind w:firstLine="360" w:start="360" w:end="0"/>
        <w:rPr>
          <w:b/>
          <w:sz w:val="24"/>
        </w:rPr>
      </w:pPr>
      <w:r>
        <w:rPr>
          <w:b/>
          <w:sz w:val="24"/>
        </w:rPr>
      </w:r>
    </w:p>
    <w:p>
      <w:pPr>
        <w:pStyle w:val="Normal"/>
        <w:ind w:firstLine="360" w:start="360" w:end="0"/>
        <w:rPr>
          <w:b/>
          <w:sz w:val="24"/>
        </w:rPr>
      </w:pPr>
      <w:r>
        <w:rPr>
          <w:b/>
          <w:sz w:val="24"/>
        </w:rPr>
        <w:t xml:space="preserve">* Argent recommends that an account number for each of the 8 sites be obtained </w:t>
      </w:r>
    </w:p>
    <w:p>
      <w:pPr>
        <w:pStyle w:val="Normal"/>
        <w:ind w:firstLine="360" w:start="360" w:end="0"/>
        <w:rPr>
          <w:b/>
          <w:sz w:val="24"/>
        </w:rPr>
      </w:pPr>
      <w:r>
        <w:rPr>
          <w:b/>
          <w:sz w:val="24"/>
        </w:rPr>
        <w:t xml:space="preserve">from the appropriate TNRCC regional office so that EOTT can comply with the </w:t>
      </w:r>
    </w:p>
    <w:p>
      <w:pPr>
        <w:pStyle w:val="Normal"/>
        <w:ind w:firstLine="360" w:start="360" w:end="0"/>
        <w:rPr>
          <w:b/>
          <w:sz w:val="24"/>
        </w:rPr>
      </w:pPr>
      <w:r>
        <w:rPr>
          <w:b/>
          <w:sz w:val="24"/>
        </w:rPr>
        <w:t xml:space="preserve">requirements for remitting annual emission fees.  </w:t>
      </w:r>
    </w:p>
    <w:p>
      <w:pPr>
        <w:pStyle w:val="Normal"/>
        <w:ind w:start="1440" w:end="0"/>
        <w:rPr>
          <w:b/>
          <w:sz w:val="24"/>
        </w:rPr>
      </w:pPr>
      <w:r>
        <w:rPr>
          <w:b/>
          <w:sz w:val="24"/>
        </w:rPr>
      </w:r>
    </w:p>
    <w:p>
      <w:pPr>
        <w:pStyle w:val="Normal"/>
        <w:numPr>
          <w:ilvl w:val="0"/>
          <w:numId w:val="2"/>
        </w:numPr>
        <w:rPr>
          <w:sz w:val="24"/>
        </w:rPr>
      </w:pPr>
      <w:r>
        <w:rPr>
          <w:sz w:val="24"/>
        </w:rPr>
        <w:t>4 additional sites which, if returned to active status, need a TNRCC account number and are subject to a TNRCC emissions fee, due by 11/1:</w:t>
      </w:r>
    </w:p>
    <w:p>
      <w:pPr>
        <w:pStyle w:val="Normal"/>
        <w:ind w:start="1440" w:end="0"/>
        <w:rPr>
          <w:sz w:val="24"/>
        </w:rPr>
      </w:pPr>
      <w:r>
        <w:rPr>
          <w:sz w:val="24"/>
        </w:rPr>
        <w:t>Burger, Haskell N., Sands, Sonora;</w:t>
      </w:r>
    </w:p>
    <w:p>
      <w:pPr>
        <w:pStyle w:val="Normal"/>
        <w:ind w:start="1440" w:end="0"/>
        <w:rPr>
          <w:sz w:val="24"/>
        </w:rPr>
      </w:pPr>
      <w:r>
        <w:rPr>
          <w:sz w:val="24"/>
        </w:rPr>
      </w:r>
    </w:p>
    <w:p>
      <w:pPr>
        <w:pStyle w:val="Normal"/>
        <w:ind w:start="360" w:end="0"/>
        <w:rPr>
          <w:sz w:val="24"/>
        </w:rPr>
      </w:pPr>
      <w:r>
        <w:rPr>
          <w:b/>
          <w:sz w:val="24"/>
        </w:rPr>
        <w:t>* Argent recommends that, should any of these sites return to active status, a TNRCC account number be obtained so that the annual emissions fee can be remitted.</w:t>
      </w:r>
    </w:p>
    <w:p>
      <w:pPr>
        <w:pStyle w:val="Normal"/>
        <w:ind w:start="360" w:end="0"/>
        <w:rPr>
          <w:sz w:val="24"/>
        </w:rPr>
      </w:pPr>
      <w:r>
        <w:rPr>
          <w:sz w:val="24"/>
        </w:rPr>
      </w:r>
    </w:p>
    <w:p>
      <w:pPr>
        <w:pStyle w:val="Normal"/>
        <w:numPr>
          <w:ilvl w:val="0"/>
          <w:numId w:val="2"/>
        </w:numPr>
        <w:rPr>
          <w:sz w:val="24"/>
        </w:rPr>
      </w:pPr>
      <w:r>
        <w:rPr>
          <w:sz w:val="24"/>
        </w:rPr>
        <w:t>3 sites that are not subject to a TNRCC emissions fee, but paid one last year:</w:t>
      </w:r>
    </w:p>
    <w:p>
      <w:pPr>
        <w:pStyle w:val="Normal"/>
        <w:ind w:start="1440" w:end="0"/>
        <w:rPr>
          <w:sz w:val="24"/>
        </w:rPr>
      </w:pPr>
      <w:r>
        <w:rPr>
          <w:sz w:val="24"/>
        </w:rPr>
        <w:t>Adair, Hendrick, Ozona.</w:t>
      </w:r>
    </w:p>
    <w:p>
      <w:pPr>
        <w:pStyle w:val="Normal"/>
        <w:ind w:start="1440" w:end="0"/>
        <w:rPr>
          <w:sz w:val="24"/>
        </w:rPr>
      </w:pPr>
      <w:r>
        <w:rPr>
          <w:sz w:val="24"/>
        </w:rPr>
      </w:r>
    </w:p>
    <w:p>
      <w:pPr>
        <w:pStyle w:val="Normal"/>
        <w:ind w:start="360" w:end="0"/>
        <w:rPr>
          <w:b/>
          <w:sz w:val="24"/>
        </w:rPr>
      </w:pPr>
      <w:r>
        <w:rPr>
          <w:b/>
          <w:sz w:val="24"/>
        </w:rPr>
        <w:t>* Argent recommends that the paying of an emissions fee for these sites be discontinued.</w:t>
      </w:r>
    </w:p>
    <w:p>
      <w:pPr>
        <w:pStyle w:val="Normal"/>
        <w:ind w:start="360" w:end="0"/>
        <w:rPr>
          <w:b/>
          <w:sz w:val="24"/>
        </w:rPr>
      </w:pPr>
      <w:r>
        <w:rPr>
          <w:b/>
          <w:sz w:val="24"/>
        </w:rPr>
      </w:r>
    </w:p>
    <w:p>
      <w:pPr>
        <w:pStyle w:val="Normal"/>
        <w:ind w:start="360" w:end="0"/>
        <w:rPr>
          <w:sz w:val="24"/>
        </w:rPr>
      </w:pPr>
      <w:r>
        <w:rPr>
          <w:sz w:val="24"/>
        </w:rPr>
      </w:r>
    </w:p>
    <w:p>
      <w:pPr>
        <w:pStyle w:val="Normal"/>
        <w:numPr>
          <w:ilvl w:val="0"/>
          <w:numId w:val="6"/>
        </w:numPr>
        <w:rPr>
          <w:sz w:val="24"/>
        </w:rPr>
      </w:pPr>
      <w:r>
        <w:rPr>
          <w:sz w:val="24"/>
          <w:u w:val="single"/>
        </w:rPr>
        <w:t>Specific inspection requirements: Primary and secondary seal inspections</w:t>
      </w:r>
      <w:r>
        <w:rPr>
          <w:sz w:val="24"/>
        </w:rPr>
        <w:t xml:space="preserve">. </w:t>
      </w:r>
    </w:p>
    <w:p>
      <w:pPr>
        <w:pStyle w:val="Normal"/>
        <w:ind w:firstLine="360" w:end="0"/>
        <w:rPr>
          <w:sz w:val="24"/>
        </w:rPr>
      </w:pPr>
      <w:r>
        <w:rPr>
          <w:sz w:val="24"/>
        </w:rPr>
        <w:t xml:space="preserve"> </w:t>
      </w:r>
      <w:r>
        <w:rPr>
          <w:sz w:val="24"/>
        </w:rPr>
        <w:t xml:space="preserve">See Attachment A for list of tanks affected. </w:t>
      </w:r>
    </w:p>
    <w:p>
      <w:pPr>
        <w:pStyle w:val="Normal"/>
        <w:ind w:firstLine="360" w:end="0"/>
        <w:rPr>
          <w:sz w:val="24"/>
        </w:rPr>
      </w:pPr>
      <w:r>
        <w:rPr>
          <w:sz w:val="24"/>
        </w:rPr>
        <w:t xml:space="preserve"> </w:t>
      </w:r>
      <w:r>
        <w:rPr>
          <w:sz w:val="24"/>
        </w:rPr>
        <w:t>See Attachment C for an API Standard 653-based  “In-service” inspection checklist.</w:t>
      </w:r>
    </w:p>
    <w:p>
      <w:pPr>
        <w:pStyle w:val="Normal"/>
        <w:ind w:firstLine="360" w:end="0"/>
        <w:rPr>
          <w:sz w:val="24"/>
        </w:rPr>
      </w:pPr>
      <w:r>
        <w:rPr>
          <w:sz w:val="24"/>
        </w:rPr>
        <w:t xml:space="preserve"> </w:t>
      </w:r>
      <w:r>
        <w:rPr>
          <w:sz w:val="24"/>
        </w:rPr>
        <w:t>See Atttachment C for Internal/External Floating Roof Inspection Report checklists.</w:t>
      </w:r>
    </w:p>
    <w:p>
      <w:pPr>
        <w:pStyle w:val="Normal"/>
        <w:ind w:firstLine="360" w:end="0"/>
        <w:rPr>
          <w:sz w:val="24"/>
        </w:rPr>
      </w:pPr>
      <w:r>
        <w:rPr>
          <w:sz w:val="24"/>
        </w:rPr>
        <w:t>See  Atttachment C for Sketch and Calculation for Perimeter Seal Gap Measurement.</w:t>
      </w:r>
    </w:p>
    <w:p>
      <w:pPr>
        <w:pStyle w:val="Normal"/>
        <w:rPr>
          <w:sz w:val="24"/>
        </w:rPr>
      </w:pPr>
      <w:r>
        <w:rPr>
          <w:sz w:val="24"/>
        </w:rPr>
      </w:r>
    </w:p>
    <w:p>
      <w:pPr>
        <w:pStyle w:val="Normal"/>
        <w:rPr>
          <w:sz w:val="24"/>
        </w:rPr>
      </w:pPr>
      <w:r>
        <w:rPr>
          <w:sz w:val="24"/>
        </w:rPr>
      </w:r>
    </w:p>
    <w:p>
      <w:pPr>
        <w:pStyle w:val="Normal"/>
        <w:numPr>
          <w:ilvl w:val="0"/>
          <w:numId w:val="6"/>
        </w:numPr>
        <w:rPr>
          <w:sz w:val="24"/>
        </w:rPr>
      </w:pPr>
      <w:r>
        <w:rPr>
          <w:sz w:val="24"/>
        </w:rPr>
        <w:t xml:space="preserve">Argent appreciates this opportunity to assist you and can perform the seal inspections in Attachment A, and API 653 “In-service” tank inspections, if requested.   </w:t>
      </w:r>
    </w:p>
    <w:p>
      <w:pPr>
        <w:pStyle w:val="Normal"/>
        <w:rPr>
          <w:sz w:val="24"/>
        </w:rPr>
      </w:pPr>
      <w:r>
        <w:rPr>
          <w:sz w:val="24"/>
        </w:rPr>
      </w:r>
    </w:p>
    <w:p>
      <w:pPr>
        <w:pStyle w:val="Normal"/>
        <w:ind w:firstLine="360" w:end="0"/>
        <w:rPr>
          <w:sz w:val="24"/>
        </w:rPr>
      </w:pPr>
      <w:r>
        <w:rPr>
          <w:sz w:val="24"/>
        </w:rPr>
        <w:t xml:space="preserve">Comprehensive “Out-of-service” inspections are performed after the tank is cleaned and should </w:t>
      </w:r>
    </w:p>
    <w:p>
      <w:pPr>
        <w:pStyle w:val="Normal"/>
        <w:ind w:start="360" w:end="0"/>
        <w:rPr>
          <w:sz w:val="24"/>
        </w:rPr>
      </w:pPr>
      <w:r>
        <w:rPr>
          <w:sz w:val="24"/>
        </w:rPr>
        <w:t xml:space="preserve">be budgeted at approximately $5000. each.  This will include a thorough floor scan but will not include required repairs.   </w:t>
      </w:r>
    </w:p>
    <w:p>
      <w:pPr>
        <w:pStyle w:val="Normal"/>
        <w:ind w:start="360" w:end="0"/>
        <w:rPr>
          <w:sz w:val="24"/>
        </w:rPr>
      </w:pPr>
      <w:r>
        <w:rPr>
          <w:sz w:val="24"/>
        </w:rPr>
      </w:r>
    </w:p>
    <w:p>
      <w:pPr>
        <w:pStyle w:val="Normal"/>
        <w:ind w:start="360" w:end="0"/>
        <w:rPr>
          <w:sz w:val="24"/>
        </w:rPr>
      </w:pPr>
      <w:r>
        <w:rPr>
          <w:sz w:val="24"/>
        </w:rPr>
        <w:t xml:space="preserve">If you have any questions or wish to discuss the database, please don’t hesitate to call me at (281) 953-1014. </w:t>
      </w:r>
    </w:p>
    <w:p>
      <w:pPr>
        <w:pStyle w:val="Normal"/>
        <w:ind w:firstLine="360" w:end="0"/>
        <w:rPr>
          <w:sz w:val="24"/>
        </w:rPr>
      </w:pPr>
      <w:r>
        <w:rPr>
          <w:sz w:val="24"/>
        </w:rPr>
      </w:r>
    </w:p>
    <w:p>
      <w:pPr>
        <w:pStyle w:val="Normal"/>
        <w:rPr>
          <w:sz w:val="24"/>
        </w:rPr>
      </w:pPr>
      <w:r>
        <w:rPr>
          <w:sz w:val="24"/>
        </w:rPr>
      </w:r>
      <w:r>
        <w:br w:type="page"/>
      </w:r>
    </w:p>
    <w:p>
      <w:pPr>
        <w:pStyle w:val="Heading4"/>
        <w:ind w:hanging="0" w:start="0"/>
        <w:rPr>
          <w:sz w:val="24"/>
        </w:rPr>
      </w:pPr>
      <w:r>
        <w:rPr>
          <w:sz w:val="24"/>
        </w:rPr>
      </w:r>
    </w:p>
    <w:p>
      <w:pPr>
        <w:pStyle w:val="Heading4"/>
        <w:ind w:hanging="0" w:start="0"/>
        <w:rPr/>
      </w:pPr>
      <w:r>
        <w:rPr/>
      </w:r>
    </w:p>
    <w:p>
      <w:pPr>
        <w:pStyle w:val="Heading4"/>
        <w:ind w:hanging="0" w:start="0"/>
        <w:rPr>
          <w:b/>
        </w:rPr>
      </w:pPr>
      <w:r>
        <w:rPr>
          <w:b/>
        </w:rPr>
        <w:t>ATTACHMENT A</w:t>
      </w:r>
    </w:p>
    <w:p>
      <w:pPr>
        <w:pStyle w:val="Normal"/>
        <w:rPr>
          <w:b/>
        </w:rPr>
      </w:pPr>
      <w:r>
        <w:rPr>
          <w:b/>
        </w:rPr>
      </w:r>
    </w:p>
    <w:p>
      <w:pPr>
        <w:pStyle w:val="Heading4"/>
        <w:ind w:hanging="0" w:start="0"/>
        <w:rPr/>
      </w:pPr>
      <w:r>
        <w:rPr/>
        <w:t>IFR/EFR Storage Tanks</w:t>
      </w:r>
    </w:p>
    <w:p>
      <w:pPr>
        <w:pStyle w:val="Heading4"/>
        <w:ind w:hanging="0" w:start="0"/>
        <w:rPr/>
      </w:pPr>
      <w:r>
        <w:rPr/>
        <w:t>Seal Inspections</w:t>
      </w:r>
    </w:p>
    <w:p>
      <w:pPr>
        <w:pStyle w:val="Normal"/>
        <w:rPr/>
      </w:pPr>
      <w:r>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For the tanks equipped with a floating roof and subject to Ka or Kb, the following requirements apply:</w:t>
      </w:r>
    </w:p>
    <w:p>
      <w:pPr>
        <w:pStyle w:val="Normal"/>
        <w:rPr>
          <w:sz w:val="24"/>
          <w:u w:val="single"/>
        </w:rPr>
      </w:pPr>
      <w:r>
        <w:rPr>
          <w:sz w:val="24"/>
          <w:u w:val="single"/>
        </w:rPr>
      </w:r>
    </w:p>
    <w:p>
      <w:pPr>
        <w:pStyle w:val="Normal"/>
        <w:numPr>
          <w:ilvl w:val="0"/>
          <w:numId w:val="2"/>
        </w:numPr>
        <w:rPr>
          <w:sz w:val="24"/>
        </w:rPr>
      </w:pPr>
      <w:r>
        <w:rPr>
          <w:sz w:val="24"/>
        </w:rPr>
        <w:t>Tanks with an IFR (internal floating roof) require an internal inspection every 5 years</w:t>
      </w:r>
    </w:p>
    <w:p>
      <w:pPr>
        <w:pStyle w:val="Normal"/>
        <w:ind w:start="720" w:end="0"/>
        <w:rPr>
          <w:sz w:val="24"/>
        </w:rPr>
      </w:pPr>
      <w:r>
        <w:rPr>
          <w:sz w:val="24"/>
        </w:rPr>
        <w:t>(however, the interval can be extended to every 10 years if an annual visual inspection is performed):</w:t>
      </w:r>
    </w:p>
    <w:p>
      <w:pPr>
        <w:pStyle w:val="Normal"/>
        <w:ind w:firstLine="720" w:start="720" w:end="0"/>
        <w:rPr>
          <w:sz w:val="24"/>
        </w:rPr>
      </w:pPr>
      <w:r>
        <w:rPr>
          <w:sz w:val="24"/>
        </w:rPr>
      </w:r>
    </w:p>
    <w:p>
      <w:pPr>
        <w:pStyle w:val="Normal"/>
        <w:ind w:firstLine="720" w:start="720" w:end="0"/>
        <w:rPr>
          <w:sz w:val="24"/>
        </w:rPr>
      </w:pPr>
      <w:r>
        <w:rPr>
          <w:sz w:val="24"/>
        </w:rPr>
        <w:t>Burger 58018 (if returned to service)</w:t>
      </w:r>
    </w:p>
    <w:p>
      <w:pPr>
        <w:pStyle w:val="Normal"/>
        <w:ind w:firstLine="720" w:start="720" w:end="0"/>
        <w:rPr>
          <w:sz w:val="24"/>
        </w:rPr>
      </w:pPr>
      <w:r>
        <w:rPr>
          <w:sz w:val="24"/>
        </w:rPr>
        <w:t>China Grove 56007-56010</w:t>
      </w:r>
    </w:p>
    <w:p>
      <w:pPr>
        <w:pStyle w:val="Normal"/>
        <w:ind w:firstLine="720" w:start="720" w:end="0"/>
        <w:rPr>
          <w:sz w:val="24"/>
        </w:rPr>
      </w:pPr>
      <w:r>
        <w:rPr>
          <w:sz w:val="24"/>
        </w:rPr>
        <w:t>Garden City 56003</w:t>
      </w:r>
    </w:p>
    <w:p>
      <w:pPr>
        <w:pStyle w:val="Normal"/>
        <w:ind w:firstLine="720" w:start="720" w:end="0"/>
        <w:rPr>
          <w:sz w:val="24"/>
        </w:rPr>
      </w:pPr>
      <w:r>
        <w:rPr>
          <w:sz w:val="24"/>
        </w:rPr>
        <w:t>Haskell S. 58023 (and 58022, if returned to service)</w:t>
      </w:r>
    </w:p>
    <w:p>
      <w:pPr>
        <w:pStyle w:val="Normal"/>
        <w:ind w:firstLine="720" w:start="720" w:end="0"/>
        <w:rPr>
          <w:sz w:val="24"/>
        </w:rPr>
      </w:pPr>
      <w:r>
        <w:rPr>
          <w:sz w:val="24"/>
        </w:rPr>
        <w:t>McAfee 1523</w:t>
      </w:r>
    </w:p>
    <w:p>
      <w:pPr>
        <w:pStyle w:val="Normal"/>
        <w:ind w:firstLine="720" w:start="720" w:end="0"/>
        <w:rPr>
          <w:sz w:val="24"/>
        </w:rPr>
      </w:pPr>
      <w:r>
        <w:rPr>
          <w:sz w:val="24"/>
        </w:rPr>
        <w:t>Midland 1516</w:t>
      </w:r>
    </w:p>
    <w:p>
      <w:pPr>
        <w:pStyle w:val="Heading5"/>
        <w:rPr/>
      </w:pPr>
      <w:r>
        <w:rPr/>
        <w:t>Scurry 1517</w:t>
      </w:r>
    </w:p>
    <w:p>
      <w:pPr>
        <w:pStyle w:val="Normal"/>
        <w:ind w:firstLine="720" w:start="720" w:end="0"/>
        <w:rPr>
          <w:sz w:val="24"/>
        </w:rPr>
      </w:pPr>
      <w:r>
        <w:rPr>
          <w:sz w:val="24"/>
        </w:rPr>
        <w:t>Wildfire 1524</w:t>
      </w:r>
    </w:p>
    <w:p>
      <w:pPr>
        <w:pStyle w:val="Normal"/>
        <w:ind w:firstLine="720" w:start="720" w:end="0"/>
        <w:rPr>
          <w:sz w:val="24"/>
        </w:rPr>
      </w:pPr>
      <w:r>
        <w:rPr>
          <w:sz w:val="24"/>
        </w:rPr>
        <w:t xml:space="preserve">Livingston Ridge 68414 </w:t>
      </w:r>
    </w:p>
    <w:p>
      <w:pPr>
        <w:pStyle w:val="Normal"/>
        <w:rPr>
          <w:sz w:val="24"/>
        </w:rPr>
      </w:pPr>
      <w:r>
        <w:rPr>
          <w:sz w:val="24"/>
        </w:rPr>
        <w:tab/>
        <w:tab/>
        <w:t>Loco Hills 66417, 66418</w:t>
      </w:r>
    </w:p>
    <w:p>
      <w:pPr>
        <w:pStyle w:val="Normal"/>
        <w:rPr>
          <w:sz w:val="24"/>
        </w:rPr>
      </w:pPr>
      <w:r>
        <w:rPr>
          <w:sz w:val="24"/>
        </w:rPr>
        <w:tab/>
        <w:tab/>
        <w:t>Thomas 68413</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Tanks with an EFR (external float. roof) require measurement of the gap between the shell wall and the primary seal every 5 years, and between the shell wall and the secondary seal  annually:</w:t>
      </w:r>
    </w:p>
    <w:p>
      <w:pPr>
        <w:pStyle w:val="Normal"/>
        <w:ind w:start="1440" w:end="0"/>
        <w:rPr>
          <w:sz w:val="24"/>
        </w:rPr>
      </w:pPr>
      <w:r>
        <w:rPr>
          <w:sz w:val="24"/>
        </w:rPr>
      </w:r>
    </w:p>
    <w:p>
      <w:pPr>
        <w:pStyle w:val="Normal"/>
        <w:ind w:start="1440" w:end="0"/>
        <w:rPr>
          <w:sz w:val="24"/>
        </w:rPr>
      </w:pPr>
      <w:r>
        <w:rPr>
          <w:sz w:val="24"/>
        </w:rPr>
        <w:t>Foster 787, 790</w:t>
      </w:r>
    </w:p>
    <w:p>
      <w:pPr>
        <w:pStyle w:val="Normal"/>
        <w:ind w:start="1440" w:end="0"/>
        <w:rPr>
          <w:sz w:val="24"/>
        </w:rPr>
      </w:pPr>
      <w:r>
        <w:rPr>
          <w:sz w:val="24"/>
        </w:rPr>
        <w:t>Quito-Hendrick 58044</w:t>
      </w:r>
    </w:p>
    <w:p>
      <w:pPr>
        <w:pStyle w:val="Normal"/>
        <w:ind w:start="1440" w:end="0"/>
        <w:rPr>
          <w:sz w:val="24"/>
        </w:rPr>
      </w:pPr>
      <w:r>
        <w:rPr>
          <w:sz w:val="24"/>
        </w:rPr>
        <w:t>Lynch 1511</w:t>
      </w:r>
    </w:p>
    <w:p>
      <w:pPr>
        <w:pStyle w:val="Normal"/>
        <w:ind w:start="1440" w:end="0"/>
        <w:rPr>
          <w:sz w:val="24"/>
        </w:rPr>
      </w:pPr>
      <w:r>
        <w:rPr>
          <w:sz w:val="24"/>
        </w:rPr>
        <w:t>Sonora 1515 (if returned to service)</w:t>
      </w:r>
    </w:p>
    <w:p>
      <w:pPr>
        <w:pStyle w:val="Normal"/>
        <w:ind w:start="1440" w:end="0"/>
        <w:rPr>
          <w:sz w:val="24"/>
        </w:rPr>
      </w:pPr>
      <w:r>
        <w:rPr>
          <w:sz w:val="24"/>
        </w:rPr>
      </w:r>
    </w:p>
    <w:p>
      <w:pPr>
        <w:pStyle w:val="Normal"/>
        <w:rPr>
          <w:sz w:val="24"/>
        </w:rPr>
      </w:pPr>
      <w:r>
        <w:rPr>
          <w:sz w:val="24"/>
        </w:rPr>
      </w:r>
    </w:p>
    <w:p>
      <w:pPr>
        <w:pStyle w:val="Normal"/>
        <w:rPr>
          <w:sz w:val="24"/>
        </w:rPr>
      </w:pPr>
      <w:r>
        <w:rPr>
          <w:sz w:val="24"/>
        </w:rPr>
      </w:r>
      <w:r>
        <w:br w:type="page"/>
      </w:r>
    </w:p>
    <w:p>
      <w:pPr>
        <w:pStyle w:val="Heading4"/>
        <w:ind w:hanging="0" w:start="0"/>
        <w:rPr>
          <w:b/>
        </w:rPr>
      </w:pPr>
      <w:r>
        <w:rPr>
          <w:b/>
        </w:rPr>
        <w:t>ATTACHMENT B</w:t>
      </w:r>
    </w:p>
    <w:p>
      <w:pPr>
        <w:pStyle w:val="Normal"/>
        <w:rPr>
          <w:b/>
        </w:rPr>
      </w:pPr>
      <w:r>
        <w:rPr>
          <w:b/>
        </w:rPr>
      </w:r>
    </w:p>
    <w:p>
      <w:pPr>
        <w:pStyle w:val="Heading4"/>
        <w:ind w:hanging="0" w:start="0"/>
        <w:rPr/>
      </w:pPr>
      <w:r>
        <w:rPr/>
        <w:t>Tank Compliance List</w:t>
      </w:r>
    </w:p>
    <w:p>
      <w:pPr>
        <w:pStyle w:val="Heading4"/>
        <w:ind w:hanging="0" w:start="0"/>
        <w:rPr/>
      </w:pPr>
      <w:r>
        <w:rPr/>
        <w:t xml:space="preserve">EOTT P/L, Midland Region </w:t>
      </w:r>
      <w:r>
        <w:br w:type="page"/>
      </w:r>
    </w:p>
    <w:p>
      <w:pPr>
        <w:pStyle w:val="Heading4"/>
        <w:ind w:hanging="0" w:start="0"/>
        <w:rPr/>
      </w:pPr>
      <w:r>
        <w:rPr/>
      </w:r>
    </w:p>
    <w:p>
      <w:pPr>
        <w:pStyle w:val="Heading4"/>
        <w:ind w:hanging="0" w:start="0"/>
        <w:rPr>
          <w:b/>
        </w:rPr>
      </w:pPr>
      <w:r>
        <w:rPr>
          <w:b/>
        </w:rPr>
        <w:t>ATTACHMENT C</w:t>
      </w:r>
    </w:p>
    <w:p>
      <w:pPr>
        <w:pStyle w:val="Normal"/>
        <w:rPr>
          <w:b/>
        </w:rPr>
      </w:pPr>
      <w:r>
        <w:rPr>
          <w:b/>
        </w:rPr>
      </w:r>
    </w:p>
    <w:p>
      <w:pPr>
        <w:pStyle w:val="Heading4"/>
        <w:ind w:hanging="0" w:start="0"/>
        <w:rPr/>
      </w:pPr>
      <w:r>
        <w:rPr/>
        <w:t>API 653  “In-service”</w:t>
      </w:r>
    </w:p>
    <w:p>
      <w:pPr>
        <w:pStyle w:val="Heading4"/>
        <w:ind w:hanging="0" w:start="0"/>
        <w:rPr/>
      </w:pPr>
      <w:r>
        <w:rPr/>
        <w:t>Tank Inspection Checklist</w:t>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t>API 653  “Out-of-service”</w:t>
      </w:r>
    </w:p>
    <w:p>
      <w:pPr>
        <w:pStyle w:val="Heading4"/>
        <w:ind w:hanging="0" w:start="0"/>
        <w:rPr/>
      </w:pPr>
      <w:r>
        <w:rPr/>
        <w:t>Tank Inspection Checklist</w:t>
      </w:r>
    </w:p>
    <w:p>
      <w:pPr>
        <w:pStyle w:val="Normal"/>
        <w:rPr/>
      </w:pPr>
      <w:r>
        <w:rPr/>
      </w:r>
    </w:p>
    <w:p>
      <w:pPr>
        <w:pStyle w:val="Normal"/>
        <w:jc w:val="center"/>
        <w:rPr>
          <w:sz w:val="24"/>
        </w:rPr>
      </w:pPr>
      <w:r>
        <w:rPr>
          <w:sz w:val="24"/>
        </w:rPr>
        <w:t>(comprehensive, every 10-20 years,</w:t>
      </w:r>
    </w:p>
    <w:p>
      <w:pPr>
        <w:pStyle w:val="Normal"/>
        <w:jc w:val="center"/>
        <w:rPr>
          <w:sz w:val="24"/>
        </w:rPr>
      </w:pPr>
      <w:r>
        <w:rPr>
          <w:sz w:val="24"/>
        </w:rPr>
        <w:t>normally performed by outside contract)</w:t>
      </w:r>
    </w:p>
    <w:p>
      <w:pPr>
        <w:pStyle w:val="Normal"/>
        <w:rPr>
          <w:sz w:val="24"/>
        </w:rPr>
      </w:pPr>
      <w:r>
        <w:rPr>
          <w:sz w:val="24"/>
        </w:rPr>
      </w:r>
    </w:p>
    <w:p>
      <w:pPr>
        <w:pStyle w:val="Normal"/>
        <w:rPr/>
      </w:pPr>
      <w:r>
        <w:rPr/>
      </w:r>
    </w:p>
    <w:p>
      <w:pPr>
        <w:pStyle w:val="Normal"/>
        <w:rPr/>
      </w:pPr>
      <w:r>
        <w:rPr/>
      </w:r>
    </w:p>
    <w:p>
      <w:pPr>
        <w:pStyle w:val="Normal"/>
        <w:rPr/>
      </w:pPr>
      <w:r>
        <w:rPr/>
      </w:r>
    </w:p>
    <w:p>
      <w:pPr>
        <w:pStyle w:val="Heading4"/>
        <w:ind w:hanging="0" w:start="0"/>
        <w:rPr/>
      </w:pPr>
      <w:r>
        <w:rPr/>
      </w:r>
    </w:p>
    <w:p>
      <w:pPr>
        <w:pStyle w:val="Heading4"/>
        <w:ind w:hanging="0" w:start="0"/>
        <w:rPr/>
      </w:pPr>
      <w:r>
        <w:rPr/>
        <w:t>Inspection Report</w:t>
      </w:r>
    </w:p>
    <w:p>
      <w:pPr>
        <w:pStyle w:val="Heading4"/>
        <w:ind w:hanging="0" w:start="0"/>
        <w:rPr/>
      </w:pPr>
      <w:r>
        <w:rPr/>
        <w:t>External Floating Roof</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rPr/>
      </w:pPr>
      <w:r>
        <w:rPr/>
        <w:t>Inspection Report</w:t>
      </w:r>
    </w:p>
    <w:p>
      <w:pPr>
        <w:pStyle w:val="Heading4"/>
        <w:ind w:hanging="0" w:start="0"/>
        <w:rPr/>
      </w:pPr>
      <w:r>
        <w:rPr/>
        <w:t>Internal Floating Roof</w:t>
      </w:r>
    </w:p>
    <w:p>
      <w:pPr>
        <w:pStyle w:val="Normal"/>
        <w:rPr/>
      </w:pPr>
      <w:r>
        <w:rPr/>
      </w:r>
    </w:p>
    <w:p>
      <w:pPr>
        <w:pStyle w:val="Heading4"/>
        <w:ind w:hanging="0" w:start="0"/>
        <w:jc w:val="start"/>
        <w:rPr>
          <w:sz w:val="20"/>
        </w:rPr>
      </w:pPr>
      <w:r>
        <w:rPr>
          <w:sz w:val="20"/>
        </w:rPr>
      </w:r>
    </w:p>
    <w:p>
      <w:pPr>
        <w:pStyle w:val="Heading4"/>
        <w:ind w:hanging="0" w:start="0"/>
        <w:rPr/>
      </w:pPr>
      <w:r>
        <w:rPr/>
        <w:t xml:space="preserve">Sketch and Calculation for </w:t>
      </w:r>
    </w:p>
    <w:p>
      <w:pPr>
        <w:pStyle w:val="Heading4"/>
        <w:ind w:hanging="0" w:start="0"/>
        <w:rPr/>
      </w:pPr>
      <w:r>
        <w:rPr/>
        <w:t>Perimeter Seal Gap Measurement</w:t>
      </w:r>
    </w:p>
    <w:sectPr>
      <w:type w:val="nextPage"/>
      <w:pgSz w:w="12240" w:h="15840"/>
      <w:pgMar w:left="1440" w:right="1152"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720"/>
        </w:tabs>
        <w:ind w:start="72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Letter"/>
      <w:lvlText w:val="%1."/>
      <w:lvlJc w:val="start"/>
      <w:pPr>
        <w:tabs>
          <w:tab w:val="num" w:pos="720"/>
        </w:tabs>
        <w:ind w:start="720" w:hanging="360"/>
      </w:pPr>
      <w:rPr/>
    </w:lvl>
  </w:abstractNum>
  <w:abstractNum w:abstractNumId="5">
    <w:lvl w:ilvl="0">
      <w:start w:val="2"/>
      <w:numFmt w:val="bullet"/>
      <w:lvlText w:val="-"/>
      <w:lvlJc w:val="start"/>
      <w:pPr>
        <w:tabs>
          <w:tab w:val="num" w:pos="720"/>
        </w:tabs>
        <w:ind w:start="720" w:hanging="360"/>
      </w:pPr>
      <w:rPr>
        <w:rFonts w:ascii="Liberation Serif" w:hAnsi="Liberation Serif" w:cs="Liberation Serif" w:hint="default"/>
      </w:rPr>
    </w:lvl>
  </w:abstractNum>
  <w:abstractNum w:abstractNumId="6">
    <w:lvl w:ilvl="0">
      <w:start w:val="3"/>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color w:val="000000"/>
      <w:sz w:val="24"/>
      <w:lang w:eastAsia="en-US"/>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ind w:firstLine="720" w:start="720" w:end="0"/>
      <w:outlineLvl w:val="4"/>
    </w:pPr>
    <w:rPr>
      <w:sz w:val="24"/>
    </w:rPr>
  </w:style>
  <w:style w:type="paragraph" w:styleId="Heading6">
    <w:name w:val="heading 6"/>
    <w:basedOn w:val="Normal"/>
    <w:next w:val="Normal"/>
    <w:qFormat/>
    <w:pPr>
      <w:keepNext w:val="true"/>
      <w:numPr>
        <w:ilvl w:val="5"/>
        <w:numId w:val="1"/>
      </w:numPr>
      <w:ind w:hanging="0" w:start="720" w:end="0"/>
      <w:outlineLvl w:val="5"/>
    </w:pPr>
    <w:rPr>
      <w:sz w:val="24"/>
      <w:u w:val="single"/>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3600" w:end="0"/>
      <w:outlineLvl w:val="7"/>
    </w:pPr>
    <w:rPr>
      <w:sz w:val="24"/>
    </w:rPr>
  </w:style>
  <w:style w:type="paragraph" w:styleId="Heading9">
    <w:name w:val="heading 9"/>
    <w:basedOn w:val="Normal"/>
    <w:next w:val="Normal"/>
    <w:qFormat/>
    <w:pPr>
      <w:keepNext w:val="true"/>
      <w:numPr>
        <w:ilvl w:val="8"/>
        <w:numId w:val="1"/>
      </w:numPr>
      <w:ind w:firstLine="360" w:start="0" w:end="0"/>
      <w:outlineLvl w:val="8"/>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u w:val="singl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1440" w:end="0"/>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2001-07-12T14:45:00Z</dcterms:created>
  <dc:creator>Preferred Customer</dc:creator>
  <dc:description/>
  <dc:language>en-CA</dc:language>
  <cp:lastModifiedBy>Jacob James Ellwood</cp:lastModifiedBy>
  <cp:lastPrinted>2001-07-12T11:39:00Z</cp:lastPrinted>
  <dcterms:modified xsi:type="dcterms:W3CDTF">2001-07-12T14:45:00Z</dcterms:modified>
  <cp:revision>2</cp:revision>
  <dc:subject/>
  <dc:title>April 18, 2001</dc:title>
</cp:coreProperties>
</file>