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1638"/>
        <w:gridCol w:w="7218"/>
      </w:tblGrid>
      <w:tr>
        <w:trPr/>
        <w:tc>
          <w:tcPr>
            <w:tcW w:w="1638" w:type="dxa"/>
            <w:tcBorders/>
          </w:tcPr>
          <w:p>
            <w:pPr>
              <w:pStyle w:val="Normal"/>
              <w:spacing w:before="0" w:after="240"/>
              <w:rPr>
                <w:rFonts w:ascii="Arial" w:hAnsi="Arial" w:cs="Arial"/>
                <w:b/>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5.3pt;height:64.7pt" filled="f" o:ole="">
                  <v:imagedata r:id="rId3" o:title=""/>
                </v:shape>
                <o:OLEObject Type="Embed" ProgID="" ShapeID="ole_rId2" DrawAspect="Content" ObjectID="_1106362258" r:id="rId2"/>
              </w:object>
            </w:r>
          </w:p>
        </w:tc>
        <w:tc>
          <w:tcPr>
            <w:tcW w:w="7218" w:type="dxa"/>
            <w:tcBorders/>
          </w:tcPr>
          <w:p>
            <w:pPr>
              <w:pStyle w:val="Heading4"/>
              <w:spacing w:before="720" w:after="240"/>
              <w:ind w:hanging="0" w:start="1440" w:end="0"/>
              <w:rPr>
                <w:rFonts w:ascii="Arial" w:hAnsi="Arial" w:cs="Arial"/>
                <w:b/>
                <w:sz w:val="36"/>
              </w:rPr>
            </w:pPr>
            <w:r>
              <w:rPr>
                <w:rFonts w:cs="Arial" w:ascii="Arial" w:hAnsi="Arial"/>
                <w:b/>
                <w:sz w:val="36"/>
              </w:rPr>
              <w:t>Memorandum</w:t>
            </w:r>
          </w:p>
        </w:tc>
      </w:tr>
      <w:tr>
        <w:trPr/>
        <w:tc>
          <w:tcPr>
            <w:tcW w:w="1638" w:type="dxa"/>
            <w:tcBorders>
              <w:top w:val="double" w:sz="6" w:space="0" w:color="000000"/>
            </w:tcBorders>
          </w:tcPr>
          <w:p>
            <w:pPr>
              <w:pStyle w:val="Normal"/>
              <w:snapToGrid w:val="false"/>
              <w:spacing w:before="0" w:after="240"/>
              <w:rPr>
                <w:rFonts w:ascii="Arial" w:hAnsi="Arial" w:cs="Arial"/>
                <w:b/>
                <w:sz w:val="36"/>
              </w:rPr>
            </w:pPr>
            <w:r>
              <w:rPr>
                <w:rFonts w:cs="Arial" w:ascii="Arial" w:hAnsi="Arial"/>
                <w:b/>
                <w:sz w:val="36"/>
              </w:rPr>
            </w:r>
          </w:p>
        </w:tc>
        <w:tc>
          <w:tcPr>
            <w:tcW w:w="7218" w:type="dxa"/>
            <w:tcBorders>
              <w:top w:val="double" w:sz="6" w:space="0" w:color="000000"/>
            </w:tcBorders>
          </w:tcPr>
          <w:p>
            <w:pPr>
              <w:pStyle w:val="Normal"/>
              <w:spacing w:before="0" w:after="240"/>
              <w:rPr>
                <w:rFonts w:ascii="Arial" w:hAnsi="Arial" w:cs="Arial"/>
                <w:sz w:val="20"/>
              </w:rPr>
            </w:pPr>
            <w:r>
              <w:rPr>
                <w:b/>
                <w:vanish/>
                <w:color w:val="FF0000"/>
                <w:sz w:val="20"/>
              </w:rPr>
              <w:t>*</w:t>
            </w:r>
            <w:r>
              <w:rPr>
                <w:b/>
                <w:vanish/>
                <w:color w:val="FF0000"/>
              </w:rPr>
              <w:t>*THIS IS A TEMPLATE – PLEASE COPY TO ANOTHER SUBFOLDER.  Note: this is an EAF memo, change for another company**</w:t>
            </w:r>
          </w:p>
        </w:tc>
      </w:tr>
      <w:tr>
        <w:trPr/>
        <w:tc>
          <w:tcPr>
            <w:tcW w:w="1638" w:type="dxa"/>
            <w:tcBorders/>
          </w:tcPr>
          <w:p>
            <w:pPr>
              <w:pStyle w:val="Normal"/>
              <w:rPr>
                <w:rFonts w:ascii="Arial" w:hAnsi="Arial" w:cs="Arial"/>
                <w:b/>
                <w:sz w:val="20"/>
              </w:rPr>
            </w:pPr>
            <w:r>
              <w:rPr>
                <w:rFonts w:cs="Arial" w:ascii="Arial" w:hAnsi="Arial"/>
                <w:b/>
                <w:sz w:val="20"/>
              </w:rPr>
              <w:t>To:</w:t>
            </w:r>
          </w:p>
        </w:tc>
        <w:tc>
          <w:tcPr>
            <w:tcW w:w="7218" w:type="dxa"/>
            <w:tcBorders/>
          </w:tcPr>
          <w:p>
            <w:pPr>
              <w:pStyle w:val="Header"/>
              <w:tabs>
                <w:tab w:val="clear" w:pos="4320"/>
                <w:tab w:val="clear" w:pos="8640"/>
              </w:tabs>
              <w:spacing w:before="0" w:after="240"/>
              <w:rPr>
                <w:rFonts w:ascii="Arial" w:hAnsi="Arial" w:cs="Arial"/>
                <w:sz w:val="20"/>
              </w:rPr>
            </w:pPr>
            <w:r>
              <w:rPr>
                <w:rFonts w:cs="Arial" w:ascii="Arial" w:hAnsi="Arial"/>
                <w:sz w:val="20"/>
              </w:rPr>
              <w:t>Shari Stack</w:t>
            </w:r>
          </w:p>
        </w:tc>
      </w:tr>
      <w:tr>
        <w:trPr/>
        <w:tc>
          <w:tcPr>
            <w:tcW w:w="1638" w:type="dxa"/>
            <w:tcBorders/>
          </w:tcPr>
          <w:p>
            <w:pPr>
              <w:pStyle w:val="Normal"/>
              <w:rPr>
                <w:rFonts w:ascii="Arial" w:hAnsi="Arial" w:cs="Arial"/>
                <w:b/>
                <w:sz w:val="20"/>
              </w:rPr>
            </w:pPr>
            <w:r>
              <w:rPr>
                <w:rFonts w:cs="Arial" w:ascii="Arial" w:hAnsi="Arial"/>
                <w:b/>
                <w:sz w:val="20"/>
              </w:rPr>
              <w:t>From:</w:t>
            </w:r>
          </w:p>
        </w:tc>
        <w:tc>
          <w:tcPr>
            <w:tcW w:w="7218" w:type="dxa"/>
            <w:tcBorders/>
          </w:tcPr>
          <w:p>
            <w:pPr>
              <w:pStyle w:val="Normal"/>
              <w:spacing w:before="0" w:after="240"/>
              <w:rPr>
                <w:rFonts w:ascii="Arial" w:hAnsi="Arial" w:cs="Arial"/>
                <w:sz w:val="20"/>
              </w:rPr>
            </w:pPr>
            <w:r>
              <w:rPr>
                <w:rFonts w:cs="Arial" w:ascii="Arial" w:hAnsi="Arial"/>
                <w:sz w:val="20"/>
              </w:rPr>
              <w:t>David Minns</w:t>
            </w:r>
          </w:p>
        </w:tc>
      </w:tr>
      <w:tr>
        <w:trPr/>
        <w:tc>
          <w:tcPr>
            <w:tcW w:w="1638" w:type="dxa"/>
            <w:tcBorders/>
          </w:tcPr>
          <w:p>
            <w:pPr>
              <w:pStyle w:val="Normal"/>
              <w:rPr>
                <w:rFonts w:ascii="Arial" w:hAnsi="Arial" w:cs="Arial"/>
                <w:b/>
                <w:sz w:val="20"/>
              </w:rPr>
            </w:pPr>
            <w:r>
              <w:rPr>
                <w:rFonts w:cs="Arial" w:ascii="Arial" w:hAnsi="Arial"/>
                <w:b/>
                <w:sz w:val="20"/>
              </w:rPr>
              <w:t>Date:</w:t>
            </w:r>
          </w:p>
        </w:tc>
        <w:tc>
          <w:tcPr>
            <w:tcW w:w="7218" w:type="dxa"/>
            <w:tcBorders/>
          </w:tcPr>
          <w:p>
            <w:pPr>
              <w:pStyle w:val="Normal"/>
              <w:spacing w:before="0" w:after="240"/>
              <w:rPr/>
            </w:pPr>
            <w:r>
              <w:rPr>
                <w:rFonts w:cs="Arial" w:ascii="Arial" w:hAnsi="Arial"/>
                <w:sz w:val="20"/>
              </w:rPr>
              <w:t>10</w:t>
            </w:r>
            <w:r>
              <w:rPr>
                <w:rFonts w:cs="Arial" w:ascii="Arial" w:hAnsi="Arial"/>
                <w:sz w:val="20"/>
                <w:vertAlign w:val="superscript"/>
              </w:rPr>
              <w:t>th</w:t>
            </w:r>
            <w:r>
              <w:rPr>
                <w:rFonts w:cs="Arial" w:ascii="Arial" w:hAnsi="Arial"/>
                <w:sz w:val="20"/>
              </w:rPr>
              <w:t xml:space="preserve"> August 1999</w:t>
            </w:r>
          </w:p>
        </w:tc>
      </w:tr>
      <w:tr>
        <w:trPr/>
        <w:tc>
          <w:tcPr>
            <w:tcW w:w="1638" w:type="dxa"/>
            <w:tcBorders>
              <w:bottom w:val="double" w:sz="6" w:space="0" w:color="000000"/>
            </w:tcBorders>
          </w:tcPr>
          <w:p>
            <w:pPr>
              <w:pStyle w:val="Normal"/>
              <w:spacing w:before="0" w:after="240"/>
              <w:rPr>
                <w:rFonts w:ascii="Arial" w:hAnsi="Arial" w:cs="Arial"/>
                <w:b/>
                <w:sz w:val="20"/>
              </w:rPr>
            </w:pPr>
            <w:r>
              <w:rPr>
                <w:rFonts w:cs="Arial" w:ascii="Arial" w:hAnsi="Arial"/>
                <w:b/>
                <w:sz w:val="20"/>
              </w:rPr>
              <w:t>Subject:</w:t>
            </w:r>
          </w:p>
        </w:tc>
        <w:tc>
          <w:tcPr>
            <w:tcW w:w="7218" w:type="dxa"/>
            <w:tcBorders>
              <w:bottom w:val="double" w:sz="6" w:space="0" w:color="000000"/>
            </w:tcBorders>
          </w:tcPr>
          <w:p>
            <w:pPr>
              <w:pStyle w:val="Normal"/>
              <w:spacing w:before="0" w:after="240"/>
              <w:rPr>
                <w:rFonts w:ascii="Arial" w:hAnsi="Arial" w:cs="Arial"/>
                <w:b/>
                <w:sz w:val="20"/>
              </w:rPr>
            </w:pPr>
            <w:r>
              <w:rPr>
                <w:rFonts w:cs="Arial" w:ascii="Arial" w:hAnsi="Arial"/>
                <w:b/>
                <w:sz w:val="20"/>
              </w:rPr>
              <w:t>Financial Trader in Australia</w:t>
            </w:r>
          </w:p>
        </w:tc>
      </w:tr>
    </w:tbl>
    <w:p>
      <w:pPr>
        <w:pStyle w:val="Normal"/>
        <w:spacing w:before="0" w:after="240"/>
        <w:rPr>
          <w:rFonts w:ascii="Arial" w:hAnsi="Arial" w:cs="Arial"/>
          <w:sz w:val="20"/>
        </w:rPr>
      </w:pPr>
      <w:r>
        <w:rPr>
          <w:rFonts w:cs="Arial" w:ascii="Arial" w:hAnsi="Arial"/>
          <w:sz w:val="20"/>
        </w:rPr>
      </w:r>
    </w:p>
    <w:p>
      <w:pPr>
        <w:pStyle w:val="Normal"/>
        <w:spacing w:before="0" w:after="240"/>
        <w:jc w:val="both"/>
        <w:rPr/>
      </w:pPr>
      <w:r>
        <w:rPr>
          <w:rFonts w:cs="Arial" w:ascii="Arial" w:hAnsi="Arial"/>
          <w:sz w:val="20"/>
        </w:rPr>
        <w:t xml:space="preserve">I refer to your 5 August 1999 e-mail.  You advised at a discussion with Harry Hickerson and Paul Quilkey that the financial trader to be based in Sydney may  purchase and sell equities (ie. Shares and government and corporate debt) on a  proprietary/speculative basis. Before it was expected such dealings would be only for hedging purposes.  As requested below is a summary of what is involved in EAF obtaining a securities deal’s licence. A full text of the application material can be found on the ASIC’s website,  </w:t>
      </w:r>
      <w:r>
        <w:rPr>
          <w:rFonts w:cs="Arial" w:ascii="Arial" w:hAnsi="Arial"/>
          <w:i/>
          <w:sz w:val="20"/>
        </w:rPr>
        <w:t>www.asic.gov.au.</w:t>
      </w:r>
    </w:p>
    <w:p>
      <w:pPr>
        <w:pStyle w:val="Normal"/>
        <w:numPr>
          <w:ilvl w:val="0"/>
          <w:numId w:val="4"/>
        </w:numPr>
        <w:spacing w:before="0" w:after="240"/>
        <w:rPr>
          <w:rFonts w:ascii="Arial" w:hAnsi="Arial" w:cs="Arial"/>
          <w:b/>
          <w:sz w:val="20"/>
        </w:rPr>
      </w:pPr>
      <w:r>
        <w:rPr>
          <w:rFonts w:cs="Arial" w:ascii="Arial" w:hAnsi="Arial"/>
          <w:b/>
          <w:sz w:val="20"/>
        </w:rPr>
        <w:t>Type of Licence</w:t>
      </w:r>
    </w:p>
    <w:p>
      <w:pPr>
        <w:pStyle w:val="Normal"/>
        <w:spacing w:before="0" w:after="240"/>
        <w:ind w:start="720" w:end="0"/>
        <w:jc w:val="both"/>
        <w:rPr>
          <w:rFonts w:ascii="Arial" w:hAnsi="Arial" w:cs="Arial"/>
          <w:sz w:val="20"/>
        </w:rPr>
      </w:pPr>
      <w:r>
        <w:rPr>
          <w:rFonts w:cs="Arial" w:ascii="Arial" w:hAnsi="Arial"/>
          <w:sz w:val="20"/>
        </w:rPr>
        <w:t xml:space="preserve">There are 5 different types of securities licences. The most appropriate one for the activities contemplated would be a licence for dealing and advising on all securities. The application needs to indicate whether the applicant will act as an agent (allowing it to hold client’s money) or as a principal. It is not possible for a licence holder to act in both capacities. </w:t>
      </w:r>
    </w:p>
    <w:p>
      <w:pPr>
        <w:pStyle w:val="Normal"/>
        <w:numPr>
          <w:ilvl w:val="0"/>
          <w:numId w:val="4"/>
        </w:numPr>
        <w:spacing w:before="0" w:after="240"/>
        <w:jc w:val="both"/>
        <w:rPr>
          <w:rFonts w:ascii="Arial" w:hAnsi="Arial" w:cs="Arial"/>
          <w:sz w:val="20"/>
        </w:rPr>
      </w:pPr>
      <w:r>
        <w:rPr>
          <w:rFonts w:cs="Arial" w:ascii="Arial" w:hAnsi="Arial"/>
          <w:b/>
          <w:sz w:val="20"/>
        </w:rPr>
        <w:t>Submission of an Application</w:t>
      </w:r>
      <w:r>
        <w:rPr>
          <w:rFonts w:cs="Arial" w:ascii="Arial" w:hAnsi="Arial"/>
          <w:sz w:val="20"/>
        </w:rPr>
        <w:t xml:space="preserve"> </w:t>
      </w:r>
    </w:p>
    <w:p>
      <w:pPr>
        <w:pStyle w:val="BodyTextIndent"/>
        <w:jc w:val="both"/>
        <w:rPr>
          <w:rFonts w:ascii="Arial" w:hAnsi="Arial" w:cs="Arial"/>
          <w:sz w:val="20"/>
        </w:rPr>
      </w:pPr>
      <w:r>
        <w:rPr>
          <w:rFonts w:cs="Arial" w:ascii="Arial" w:hAnsi="Arial"/>
          <w:sz w:val="20"/>
        </w:rPr>
        <w:t>An application in the prescribed form would need to submitted to the Australian Securities and Investment Commission (ASIC). This application would need to include the following;</w:t>
      </w:r>
    </w:p>
    <w:p>
      <w:pPr>
        <w:pStyle w:val="BodyTextIndent"/>
        <w:numPr>
          <w:ilvl w:val="0"/>
          <w:numId w:val="3"/>
        </w:numPr>
        <w:tabs>
          <w:tab w:val="clear" w:pos="720"/>
          <w:tab w:val="left" w:pos="1440" w:leader="none"/>
        </w:tabs>
        <w:ind w:hanging="720" w:start="1440" w:end="0"/>
        <w:jc w:val="both"/>
        <w:rPr>
          <w:rFonts w:ascii="Arial" w:hAnsi="Arial" w:cs="Arial"/>
          <w:sz w:val="20"/>
        </w:rPr>
      </w:pPr>
      <w:r>
        <w:rPr>
          <w:rFonts w:cs="Arial" w:ascii="Arial" w:hAnsi="Arial"/>
          <w:sz w:val="20"/>
          <w:u w:val="single"/>
        </w:rPr>
        <w:t>Identification of the Responsible Officers.</w:t>
      </w:r>
      <w:r>
        <w:rPr>
          <w:rFonts w:cs="Arial" w:ascii="Arial" w:hAnsi="Arial"/>
          <w:sz w:val="20"/>
        </w:rPr>
        <w:t xml:space="preserve"> These are the persons who will perform duties in connection with holding the licence and whom EAF will rely on to demonstrate they can carry out activities under the licence. It is expected the responsible officers identified in the application will be those persons actually responsible for making decisions about ongoing operations. The application material explicitly states that the term is not confined to just mean the persons “who simply sign-off documents”.</w:t>
      </w:r>
    </w:p>
    <w:p>
      <w:pPr>
        <w:pStyle w:val="BodyTextIndent"/>
        <w:numPr>
          <w:ilvl w:val="0"/>
          <w:numId w:val="3"/>
        </w:numPr>
        <w:tabs>
          <w:tab w:val="clear" w:pos="720"/>
          <w:tab w:val="left" w:pos="1440" w:leader="none"/>
        </w:tabs>
        <w:ind w:hanging="720" w:start="1440" w:end="0"/>
        <w:jc w:val="both"/>
        <w:rPr>
          <w:rFonts w:ascii="Arial" w:hAnsi="Arial" w:cs="Arial"/>
          <w:sz w:val="20"/>
        </w:rPr>
      </w:pPr>
      <w:r>
        <w:rPr>
          <w:rFonts w:cs="Arial" w:ascii="Arial" w:hAnsi="Arial"/>
          <w:sz w:val="20"/>
          <w:u w:val="single"/>
        </w:rPr>
        <w:t>Education Requirements.</w:t>
      </w:r>
      <w:r>
        <w:rPr>
          <w:rFonts w:cs="Arial" w:ascii="Arial" w:hAnsi="Arial"/>
          <w:sz w:val="20"/>
        </w:rPr>
        <w:t xml:space="preserve"> Details of the qualifications of the responsible officers are required.  There are prescribed minimum requirements of tertiary education and industry training. In addition, a minimum of 3 years of relevant industry experience in the last 5 years is also needed. Overseas experience may qualify provided the ASIC is satisfied that the individual concerned has sufficient Australian securities industry experience.</w:t>
      </w:r>
    </w:p>
    <w:p>
      <w:pPr>
        <w:pStyle w:val="BodyTextIndent"/>
        <w:numPr>
          <w:ilvl w:val="0"/>
          <w:numId w:val="3"/>
        </w:numPr>
        <w:tabs>
          <w:tab w:val="clear" w:pos="720"/>
          <w:tab w:val="left" w:pos="1440" w:leader="none"/>
        </w:tabs>
        <w:ind w:hanging="720" w:start="1440" w:end="0"/>
        <w:jc w:val="both"/>
        <w:rPr>
          <w:rFonts w:ascii="Arial" w:hAnsi="Arial" w:cs="Arial"/>
          <w:sz w:val="20"/>
          <w:u w:val="single"/>
        </w:rPr>
      </w:pPr>
      <w:r>
        <w:rPr>
          <w:rFonts w:cs="Arial" w:ascii="Arial" w:hAnsi="Arial"/>
          <w:sz w:val="20"/>
          <w:u w:val="single"/>
        </w:rPr>
        <w:t>Evidence of Good Standing of Responsible Officers.</w:t>
      </w:r>
      <w:r>
        <w:rPr>
          <w:rFonts w:cs="Arial" w:ascii="Arial" w:hAnsi="Arial"/>
          <w:sz w:val="20"/>
        </w:rPr>
        <w:t xml:space="preserve"> The main requirement is that each responsible officer must provide 2 references each by a person who can attest to the officer’s experience and character. Only one reference can be from a person within the applicant company. Copies of police checks on responsible officers and also on Australian resident directors and secretaries of the applicant company (ie. J Hirl and D. Minns) must also be annexed to the application.</w:t>
      </w:r>
    </w:p>
    <w:p>
      <w:pPr>
        <w:pStyle w:val="BodyTextIndent"/>
        <w:numPr>
          <w:ilvl w:val="0"/>
          <w:numId w:val="3"/>
        </w:numPr>
        <w:tabs>
          <w:tab w:val="clear" w:pos="720"/>
          <w:tab w:val="left" w:pos="1440" w:leader="none"/>
        </w:tabs>
        <w:ind w:hanging="720" w:start="1440" w:end="0"/>
        <w:jc w:val="both"/>
        <w:rPr>
          <w:rFonts w:ascii="Arial" w:hAnsi="Arial" w:cs="Arial"/>
          <w:sz w:val="20"/>
          <w:u w:val="single"/>
        </w:rPr>
      </w:pPr>
      <w:r>
        <w:rPr>
          <w:rFonts w:cs="Arial" w:ascii="Arial" w:hAnsi="Arial"/>
          <w:sz w:val="20"/>
          <w:u w:val="single"/>
        </w:rPr>
        <w:t>Financial Statements.</w:t>
      </w:r>
      <w:r>
        <w:rPr>
          <w:rFonts w:cs="Arial" w:ascii="Arial" w:hAnsi="Arial"/>
          <w:sz w:val="20"/>
        </w:rPr>
        <w:t xml:space="preserve"> These are to be provided by EAF along with up to date management accounts.</w:t>
      </w:r>
    </w:p>
    <w:p>
      <w:pPr>
        <w:pStyle w:val="BodyTextIndent"/>
        <w:numPr>
          <w:ilvl w:val="0"/>
          <w:numId w:val="3"/>
        </w:numPr>
        <w:tabs>
          <w:tab w:val="clear" w:pos="720"/>
          <w:tab w:val="left" w:pos="1440" w:leader="none"/>
        </w:tabs>
        <w:ind w:hanging="720" w:start="1440" w:end="0"/>
        <w:jc w:val="both"/>
        <w:rPr>
          <w:rFonts w:ascii="Arial" w:hAnsi="Arial" w:cs="Arial"/>
          <w:sz w:val="20"/>
          <w:u w:val="single"/>
        </w:rPr>
      </w:pPr>
      <w:r>
        <w:rPr>
          <w:rFonts w:cs="Arial" w:ascii="Arial" w:hAnsi="Arial"/>
          <w:sz w:val="20"/>
          <w:u w:val="single"/>
        </w:rPr>
        <w:t>Research Facilities.</w:t>
      </w:r>
      <w:r>
        <w:rPr>
          <w:rFonts w:cs="Arial" w:ascii="Arial" w:hAnsi="Arial"/>
          <w:sz w:val="20"/>
        </w:rPr>
        <w:t xml:space="preserve"> The applicant will need to give details of the research facilities available to it.</w:t>
      </w:r>
    </w:p>
    <w:p>
      <w:pPr>
        <w:pStyle w:val="BodyTextIndent"/>
        <w:numPr>
          <w:ilvl w:val="0"/>
          <w:numId w:val="3"/>
        </w:numPr>
        <w:tabs>
          <w:tab w:val="clear" w:pos="720"/>
          <w:tab w:val="left" w:pos="1440" w:leader="none"/>
        </w:tabs>
        <w:ind w:hanging="720" w:start="1440" w:end="0"/>
        <w:jc w:val="both"/>
        <w:rPr>
          <w:rFonts w:ascii="Arial" w:hAnsi="Arial" w:cs="Arial"/>
          <w:sz w:val="20"/>
          <w:u w:val="single"/>
        </w:rPr>
      </w:pPr>
      <w:r>
        <w:rPr>
          <w:rFonts w:cs="Arial" w:ascii="Arial" w:hAnsi="Arial"/>
          <w:sz w:val="20"/>
          <w:u w:val="single"/>
        </w:rPr>
        <w:t>Compliance Program.</w:t>
      </w:r>
      <w:r>
        <w:rPr>
          <w:rFonts w:cs="Arial" w:ascii="Arial" w:hAnsi="Arial"/>
          <w:sz w:val="20"/>
        </w:rPr>
        <w:t xml:space="preserve"> The applicant must give details of systems to ensure it will meet the requirements of </w:t>
      </w:r>
      <w:r>
        <w:rPr>
          <w:rFonts w:cs="Arial" w:ascii="Arial" w:hAnsi="Arial"/>
          <w:i/>
          <w:sz w:val="20"/>
        </w:rPr>
        <w:t xml:space="preserve">Corporations Law, </w:t>
      </w:r>
      <w:r>
        <w:rPr>
          <w:rFonts w:cs="Arial" w:ascii="Arial" w:hAnsi="Arial"/>
          <w:sz w:val="20"/>
        </w:rPr>
        <w:t xml:space="preserve">ie a compliance program.  </w:t>
      </w:r>
    </w:p>
    <w:p>
      <w:pPr>
        <w:pStyle w:val="Normal"/>
        <w:numPr>
          <w:ilvl w:val="0"/>
          <w:numId w:val="2"/>
        </w:numPr>
        <w:spacing w:before="0" w:after="240"/>
        <w:jc w:val="both"/>
        <w:rPr>
          <w:rFonts w:ascii="Arial" w:hAnsi="Arial" w:cs="Arial"/>
          <w:b/>
          <w:sz w:val="20"/>
        </w:rPr>
      </w:pPr>
      <w:r>
        <w:rPr>
          <w:rFonts w:cs="Arial" w:ascii="Arial" w:hAnsi="Arial"/>
          <w:b/>
          <w:sz w:val="20"/>
        </w:rPr>
        <w:t>Performance Bond</w:t>
      </w:r>
    </w:p>
    <w:p>
      <w:pPr>
        <w:pStyle w:val="Normal"/>
        <w:spacing w:before="0" w:after="240"/>
        <w:ind w:start="720" w:end="0"/>
        <w:jc w:val="both"/>
        <w:rPr>
          <w:rFonts w:ascii="Arial" w:hAnsi="Arial" w:cs="Arial"/>
          <w:sz w:val="20"/>
        </w:rPr>
      </w:pPr>
      <w:r>
        <w:rPr>
          <w:rFonts w:cs="Arial" w:ascii="Arial" w:hAnsi="Arial"/>
          <w:sz w:val="20"/>
        </w:rPr>
        <w:t>After the Licence is granted a $20,000 performance bond must be lodged.</w:t>
      </w:r>
    </w:p>
    <w:p>
      <w:pPr>
        <w:pStyle w:val="Normal"/>
        <w:numPr>
          <w:ilvl w:val="0"/>
          <w:numId w:val="2"/>
        </w:numPr>
        <w:spacing w:before="0" w:after="240"/>
        <w:jc w:val="both"/>
        <w:rPr>
          <w:rFonts w:ascii="Arial" w:hAnsi="Arial" w:cs="Arial"/>
          <w:b/>
          <w:sz w:val="20"/>
        </w:rPr>
      </w:pPr>
      <w:r>
        <w:rPr>
          <w:rFonts w:cs="Arial" w:ascii="Arial" w:hAnsi="Arial"/>
          <w:b/>
          <w:sz w:val="20"/>
        </w:rPr>
        <w:t>Capital Adequacy</w:t>
      </w:r>
    </w:p>
    <w:p>
      <w:pPr>
        <w:pStyle w:val="BodyTextIndent2"/>
        <w:ind w:hanging="0" w:end="0"/>
        <w:jc w:val="both"/>
        <w:rPr>
          <w:sz w:val="20"/>
        </w:rPr>
      </w:pPr>
      <w:r>
        <w:rPr>
          <w:sz w:val="20"/>
        </w:rPr>
        <w:t xml:space="preserve">A licence holder must maintain a prescribed level of surplus liquid funds. In brief the required level is the greater of  5% of its adjusted liabilities (similar to contingent liabilities). As EAF’s liabilities under electricity derivatives would be included it may be advisable to use a special purpose company to minimise the level of surplus liquid funds. </w:t>
      </w:r>
    </w:p>
    <w:p>
      <w:pPr>
        <w:pStyle w:val="Normal"/>
        <w:numPr>
          <w:ilvl w:val="0"/>
          <w:numId w:val="2"/>
        </w:numPr>
        <w:spacing w:before="0" w:after="240"/>
        <w:rPr>
          <w:rFonts w:ascii="Arial" w:hAnsi="Arial" w:cs="Arial"/>
          <w:b/>
          <w:sz w:val="20"/>
        </w:rPr>
      </w:pPr>
      <w:r>
        <w:rPr>
          <w:rFonts w:cs="Arial" w:ascii="Arial" w:hAnsi="Arial"/>
          <w:b/>
          <w:sz w:val="20"/>
        </w:rPr>
        <w:t>Ongoing Requirements</w:t>
        <w:tab/>
        <w:t xml:space="preserve"> </w:t>
      </w:r>
    </w:p>
    <w:p>
      <w:pPr>
        <w:pStyle w:val="Normal"/>
        <w:numPr>
          <w:ilvl w:val="0"/>
          <w:numId w:val="5"/>
        </w:numPr>
        <w:tabs>
          <w:tab w:val="clear" w:pos="720"/>
          <w:tab w:val="left" w:pos="1440" w:leader="none"/>
        </w:tabs>
        <w:spacing w:before="0" w:after="240"/>
        <w:ind w:hanging="720" w:start="1440" w:end="0"/>
        <w:jc w:val="both"/>
        <w:rPr>
          <w:rFonts w:ascii="Arial" w:hAnsi="Arial" w:cs="Arial"/>
          <w:sz w:val="20"/>
        </w:rPr>
      </w:pPr>
      <w:r>
        <w:rPr>
          <w:rFonts w:cs="Arial" w:ascii="Arial" w:hAnsi="Arial"/>
          <w:sz w:val="20"/>
          <w:u w:val="single"/>
        </w:rPr>
        <w:t>Reporting</w:t>
      </w:r>
      <w:r>
        <w:rPr>
          <w:rFonts w:cs="Arial" w:ascii="Arial" w:hAnsi="Arial"/>
          <w:sz w:val="20"/>
        </w:rPr>
        <w:t>. These include an annual statement and the provision of written information on the business of the licensee as the ASIC may require from time to time. In addition the licence holder must report any licence breaches.</w:t>
      </w:r>
    </w:p>
    <w:p>
      <w:pPr>
        <w:pStyle w:val="Normal"/>
        <w:numPr>
          <w:ilvl w:val="0"/>
          <w:numId w:val="5"/>
        </w:numPr>
        <w:tabs>
          <w:tab w:val="clear" w:pos="720"/>
          <w:tab w:val="left" w:pos="1440" w:leader="none"/>
        </w:tabs>
        <w:spacing w:before="0" w:after="240"/>
        <w:ind w:hanging="720" w:start="1440" w:end="0"/>
        <w:jc w:val="both"/>
        <w:rPr>
          <w:rFonts w:ascii="Arial" w:hAnsi="Arial" w:cs="Arial"/>
          <w:sz w:val="20"/>
        </w:rPr>
      </w:pPr>
      <w:r>
        <w:rPr>
          <w:rFonts w:cs="Arial" w:ascii="Arial" w:hAnsi="Arial"/>
          <w:sz w:val="20"/>
          <w:u w:val="single"/>
        </w:rPr>
        <w:t>Training</w:t>
      </w:r>
      <w:r>
        <w:rPr>
          <w:rFonts w:cs="Arial" w:ascii="Arial" w:hAnsi="Arial"/>
          <w:sz w:val="20"/>
        </w:rPr>
        <w:t>.  The licence holder  must ensure that  persons employed as dealers are adequately trained and supervised.</w:t>
      </w:r>
    </w:p>
    <w:p>
      <w:pPr>
        <w:pStyle w:val="Normal"/>
        <w:numPr>
          <w:ilvl w:val="0"/>
          <w:numId w:val="5"/>
        </w:numPr>
        <w:tabs>
          <w:tab w:val="clear" w:pos="720"/>
          <w:tab w:val="left" w:pos="1440" w:leader="none"/>
        </w:tabs>
        <w:spacing w:before="0" w:after="240"/>
        <w:ind w:hanging="720" w:start="1440" w:end="0"/>
        <w:jc w:val="both"/>
        <w:rPr>
          <w:rFonts w:ascii="Arial" w:hAnsi="Arial" w:cs="Arial"/>
          <w:sz w:val="20"/>
        </w:rPr>
      </w:pPr>
      <w:r>
        <w:rPr>
          <w:rFonts w:cs="Arial" w:ascii="Arial" w:hAnsi="Arial"/>
          <w:sz w:val="20"/>
          <w:u w:val="single"/>
        </w:rPr>
        <w:t>Record keeping</w:t>
      </w:r>
      <w:r>
        <w:rPr>
          <w:rFonts w:cs="Arial" w:ascii="Arial" w:hAnsi="Arial"/>
          <w:sz w:val="20"/>
        </w:rPr>
        <w:t>.  A list of persons authorised to deal on behalf of the licence holder and a Register of Interests of representatives and their associates must be maintained. The licence may prescribe further record keeping requirements.</w:t>
      </w:r>
    </w:p>
    <w:p>
      <w:pPr>
        <w:pStyle w:val="Normal"/>
        <w:numPr>
          <w:ilvl w:val="0"/>
          <w:numId w:val="2"/>
        </w:numPr>
        <w:spacing w:before="0" w:after="240"/>
        <w:jc w:val="both"/>
        <w:rPr>
          <w:rFonts w:ascii="Arial" w:hAnsi="Arial" w:cs="Arial"/>
          <w:b/>
          <w:sz w:val="20"/>
        </w:rPr>
      </w:pPr>
      <w:r>
        <w:rPr>
          <w:rFonts w:cs="Arial" w:ascii="Arial" w:hAnsi="Arial"/>
          <w:b/>
          <w:sz w:val="20"/>
        </w:rPr>
        <w:t>Additional Requirements</w:t>
      </w:r>
    </w:p>
    <w:p>
      <w:pPr>
        <w:pStyle w:val="BodyTextIndent3"/>
        <w:rPr>
          <w:sz w:val="20"/>
        </w:rPr>
      </w:pPr>
      <w:r>
        <w:rPr>
          <w:sz w:val="20"/>
        </w:rPr>
        <w:t>A licence may prescribe additional requirements such as the type of securities that may be dealt.</w:t>
      </w:r>
    </w:p>
    <w:p>
      <w:pPr>
        <w:pStyle w:val="Normal"/>
        <w:spacing w:before="0" w:after="240"/>
        <w:jc w:val="both"/>
        <w:rPr>
          <w:rFonts w:ascii="Arial" w:hAnsi="Arial" w:cs="Arial"/>
          <w:sz w:val="20"/>
        </w:rPr>
      </w:pPr>
      <w:r>
        <w:rPr>
          <w:rFonts w:cs="Arial" w:ascii="Arial" w:hAnsi="Arial"/>
          <w:sz w:val="20"/>
        </w:rPr>
        <w:t xml:space="preserve">It should also be noted that the licence application process will probably take a number of months. Also, EAF (or any other company holding the licence) would be the only Enron company licensed to trade in securities. </w:t>
      </w:r>
    </w:p>
    <w:p>
      <w:pPr>
        <w:pStyle w:val="Normal"/>
        <w:spacing w:before="0" w:after="240"/>
        <w:jc w:val="both"/>
        <w:rPr>
          <w:rFonts w:ascii="Arial" w:hAnsi="Arial" w:cs="Arial"/>
          <w:sz w:val="20"/>
        </w:rPr>
      </w:pPr>
      <w:r>
        <w:rPr>
          <w:rFonts w:cs="Arial" w:ascii="Arial" w:hAnsi="Arial"/>
          <w:sz w:val="20"/>
        </w:rPr>
      </w:r>
    </w:p>
    <w:sectPr>
      <w:footerReference w:type="default" r:id="rId4"/>
      <w:footerReference w:type="first" r:id="rId5"/>
      <w:type w:val="nextPage"/>
      <w:pgSz w:w="12240" w:h="15840"/>
      <w:pgMar w:left="1800" w:right="1800" w:gutter="0" w:header="0" w:top="72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G:\Louise’s Files\</w:t>
    </w:r>
    <w:r>
      <w:rPr>
        <w:sz w:val="12"/>
      </w:rPr>
      <w:fldChar w:fldCharType="begin"/>
    </w:r>
    <w:r>
      <w:rPr>
        <w:sz w:val="12"/>
      </w:rPr>
      <w:instrText xml:space="preserve"> FILENAME </w:instrText>
    </w:r>
    <w:r>
      <w:rPr>
        <w:sz w:val="12"/>
      </w:rPr>
      <w:fldChar w:fldCharType="separate"/>
    </w:r>
    <w:r>
      <w:rPr>
        <w:sz w:val="12"/>
      </w:rPr>
      <w:t>Memo___Shari_Stack_6.8.99.doc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t>G:\\</w:t>
    </w:r>
    <w:r>
      <w:rPr>
        <w:sz w:val="12"/>
      </w:rPr>
      <w:fldChar w:fldCharType="begin"/>
    </w:r>
    <w:r>
      <w:rPr>
        <w:sz w:val="12"/>
      </w:rPr>
      <w:instrText xml:space="preserve"> FILENAME </w:instrText>
    </w:r>
    <w:r>
      <w:rPr>
        <w:sz w:val="12"/>
      </w:rPr>
      <w:fldChar w:fldCharType="separate"/>
    </w:r>
    <w:r>
      <w:rPr>
        <w:sz w:val="12"/>
      </w:rPr>
      <w:t>Memo___Shari_Stack_6.8.99.doc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i w:val="false"/>
        <w:b/>
      </w:rPr>
    </w:lvl>
  </w:abstractNum>
  <w:abstractNum w:abstractNumId="3">
    <w:lvl w:ilvl="0">
      <w:start w:val="1"/>
      <w:numFmt w:val="lowerRoman"/>
      <w:lvlText w:val="(%1)"/>
      <w:lvlJc w:val="start"/>
      <w:pPr>
        <w:tabs>
          <w:tab w:val="num" w:pos="2160"/>
        </w:tabs>
        <w:ind w:start="2160" w:hanging="720"/>
      </w:pPr>
      <w:rPr>
        <w:i w:val="false"/>
        <w:u w:val="none"/>
        <w:b w:val="false"/>
      </w:rPr>
    </w:lvl>
  </w:abstractNum>
  <w:abstractNum w:abstractNumId="4">
    <w:lvl w:ilvl="0">
      <w:start w:val="1"/>
      <w:numFmt w:val="decimal"/>
      <w:lvlText w:val="%1."/>
      <w:lvlJc w:val="start"/>
      <w:pPr>
        <w:tabs>
          <w:tab w:val="num" w:pos="720"/>
        </w:tabs>
        <w:ind w:start="720" w:hanging="720"/>
      </w:pPr>
      <w:rPr>
        <w:i w:val="false"/>
        <w:b/>
      </w:rPr>
    </w:lvl>
  </w:abstractNum>
  <w:abstractNum w:abstractNumId="5">
    <w:lvl w:ilvl="0">
      <w:start w:val="1"/>
      <w:numFmt w:val="lowerRoman"/>
      <w:lvlText w:val="(%1)"/>
      <w:lvlJc w:val="start"/>
      <w:pPr>
        <w:tabs>
          <w:tab w:val="num" w:pos="2160"/>
        </w:tabs>
        <w:ind w:start="2160" w:hanging="720"/>
      </w:pPr>
      <w:rPr>
        <w:i w:val="false"/>
        <w:b w:val="fals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outlineLvl w:val="0"/>
    </w:pPr>
    <w:rPr>
      <w:b/>
      <w:sz w:val="24"/>
    </w:rPr>
  </w:style>
  <w:style w:type="paragraph" w:styleId="Heading2">
    <w:name w:val="heading 2"/>
    <w:basedOn w:val="Normal"/>
    <w:next w:val="Normal"/>
    <w:qFormat/>
    <w:pPr>
      <w:keepNext w:val="true"/>
      <w:numPr>
        <w:ilvl w:val="1"/>
        <w:numId w:val="1"/>
      </w:numPr>
      <w:spacing w:before="0" w:after="240"/>
      <w:outlineLvl w:val="1"/>
    </w:pPr>
    <w:rPr>
      <w:rFonts w:ascii="Arial" w:hAnsi="Arial" w:cs="Arial"/>
      <w:b/>
      <w:sz w:val="28"/>
    </w:rPr>
  </w:style>
  <w:style w:type="paragraph" w:styleId="Heading3">
    <w:name w:val="heading 3"/>
    <w:basedOn w:val="Normal"/>
    <w:next w:val="Normal"/>
    <w:qFormat/>
    <w:pPr>
      <w:keepNext w:val="true"/>
      <w:numPr>
        <w:ilvl w:val="2"/>
        <w:numId w:val="1"/>
      </w:numPr>
      <w:jc w:val="center"/>
      <w:outlineLvl w:val="2"/>
    </w:pPr>
    <w:rPr>
      <w:rFonts w:ascii="Arial" w:hAnsi="Arial" w:cs="Arial"/>
      <w:b/>
      <w:sz w:val="24"/>
    </w:rPr>
  </w:style>
  <w:style w:type="paragraph" w:styleId="Heading4">
    <w:name w:val="heading 4"/>
    <w:basedOn w:val="Normal"/>
    <w:next w:val="Normal"/>
    <w:qFormat/>
    <w:pPr>
      <w:keepNext w:val="true"/>
      <w:numPr>
        <w:ilvl w:val="3"/>
        <w:numId w:val="1"/>
      </w:numPr>
      <w:spacing w:before="0" w:after="240"/>
      <w:outlineLvl w:val="3"/>
    </w:pPr>
    <w:rPr>
      <w:sz w:val="28"/>
    </w:rPr>
  </w:style>
  <w:style w:type="character" w:styleId="WW8Num1z0">
    <w:name w:val="WW8Num1z0"/>
    <w:qFormat/>
    <w:rPr/>
  </w:style>
  <w:style w:type="character" w:styleId="WW8Num2z0">
    <w:name w:val="WW8Num2z0"/>
    <w:qFormat/>
    <w:rPr>
      <w:b/>
      <w:i w:val="false"/>
    </w:rPr>
  </w:style>
  <w:style w:type="character" w:styleId="WW8Num3z0">
    <w:name w:val="WW8Num3z0"/>
    <w:qFormat/>
    <w:rPr>
      <w:b w:val="false"/>
      <w:i w:val="false"/>
      <w:u w:val="none"/>
    </w:rPr>
  </w:style>
  <w:style w:type="character" w:styleId="WW8Num4z0">
    <w:name w:val="WW8Num4z0"/>
    <w:qFormat/>
    <w:rPr/>
  </w:style>
  <w:style w:type="character" w:styleId="WW8Num5z0">
    <w:name w:val="WW8Num5z0"/>
    <w:qFormat/>
    <w:rPr/>
  </w:style>
  <w:style w:type="character" w:styleId="WW8Num6z0">
    <w:name w:val="WW8Num6z0"/>
    <w:qFormat/>
    <w:rPr>
      <w:b/>
      <w:i w:val="false"/>
    </w:rPr>
  </w:style>
  <w:style w:type="character" w:styleId="WW8Num7z0">
    <w:name w:val="WW8Num7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0" w:start="720" w:end="0"/>
    </w:pPr>
    <w:rPr/>
  </w:style>
  <w:style w:type="paragraph" w:styleId="BodyTextIndent2">
    <w:name w:val="Body Text Indent 2"/>
    <w:basedOn w:val="Normal"/>
    <w:qFormat/>
    <w:pPr>
      <w:spacing w:before="0" w:after="240"/>
      <w:ind w:hanging="720" w:start="720" w:end="0"/>
    </w:pPr>
    <w:rPr>
      <w:rFonts w:ascii="Arial" w:hAnsi="Arial" w:cs="Arial"/>
      <w:sz w:val="22"/>
    </w:rPr>
  </w:style>
  <w:style w:type="paragraph" w:styleId="BodyTextIndent3">
    <w:name w:val="Body Text Indent 3"/>
    <w:basedOn w:val="Normal"/>
    <w:qFormat/>
    <w:pPr>
      <w:spacing w:before="0" w:after="240"/>
      <w:ind w:hanging="0" w:start="720" w:end="0"/>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1999-08-06T06:31:00Z</dcterms:created>
  <dc:creator>ENRON</dc:creator>
  <dc:description/>
  <dc:language>en-CA</dc:language>
  <cp:lastModifiedBy>dminns</cp:lastModifiedBy>
  <cp:lastPrinted>1999-08-10T15:45:00Z</cp:lastPrinted>
  <dcterms:modified xsi:type="dcterms:W3CDTF">1999-08-10T06:25:00Z</dcterms:modified>
  <cp:revision>10</cp:revision>
  <dc:subject/>
  <dc:title> </dc:title>
</cp:coreProperties>
</file>