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Analysts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Charlene Jackson</w:t>
            </w:r>
          </w:p>
        </w:tc>
        <w:tc>
          <w:tcPr>
            <w:tcW w:w="990" w:type="dxa"/>
            <w:tcBorders/>
          </w:tcPr>
          <w:p>
            <w:pPr>
              <w:pStyle w:val="Normal"/>
              <w:ind w:start="-180" w:end="0"/>
              <w:jc w:val="end"/>
              <w:rPr>
                <w:sz w:val="16"/>
              </w:rPr>
            </w:pPr>
            <w:r>
              <w:rPr>
                <w:sz w:val="16"/>
              </w:rPr>
              <w:t>Department:</w:t>
            </w:r>
          </w:p>
        </w:tc>
        <w:tc>
          <w:tcPr>
            <w:tcW w:w="2965" w:type="dxa"/>
            <w:tcBorders/>
          </w:tcPr>
          <w:p>
            <w:pPr>
              <w:pStyle w:val="Department"/>
              <w:ind w:end="-198"/>
              <w:rPr/>
            </w:pPr>
            <w:bookmarkStart w:id="0" w:name="From"/>
            <w:bookmarkEnd w:id="0"/>
            <w:r>
              <w:rPr/>
              <w:t>Associate and Analyst Program</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Rotations and Timekeeping</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Department"/>
        <w:rPr>
          <w:color w:val="000000"/>
        </w:rPr>
      </w:pPr>
      <w:r>
        <w:rPr>
          <w:color w:val="000000"/>
        </w:rPr>
        <w:t xml:space="preserve">One of the goals of the Program is to better serve your needs.  The Program Management believes it can best achieve this goal by providing timely, accurate and pertinent information.  As an initial step, I would like to provide information on the procedures for rotations and timekeeping. </w:t>
      </w:r>
    </w:p>
    <w:p>
      <w:pPr>
        <w:pStyle w:val="Department"/>
        <w:rPr>
          <w:color w:val="000000"/>
        </w:rPr>
      </w:pPr>
      <w:r>
        <w:rPr>
          <w:color w:val="000000"/>
        </w:rPr>
      </w:r>
    </w:p>
    <w:p>
      <w:pPr>
        <w:pStyle w:val="Department"/>
        <w:rPr>
          <w:color w:val="000000"/>
        </w:rPr>
      </w:pPr>
      <w:r>
        <w:rPr>
          <w:b/>
          <w:color w:val="000000"/>
        </w:rPr>
        <w:t>Rotations</w:t>
      </w:r>
    </w:p>
    <w:p>
      <w:pPr>
        <w:pStyle w:val="Department"/>
        <w:spacing w:before="120" w:after="0"/>
        <w:rPr>
          <w:color w:val="000000"/>
        </w:rPr>
      </w:pPr>
      <w:r>
        <w:rPr>
          <w:color w:val="000000"/>
        </w:rPr>
        <w:t xml:space="preserve">The Program facilitates rotations.  To help us assist you in securing the ideal rotation please contact the Program two (2) months prior to the end of your rotation. </w:t>
      </w:r>
    </w:p>
    <w:p>
      <w:pPr>
        <w:pStyle w:val="Department"/>
        <w:spacing w:before="200" w:after="0"/>
        <w:rPr>
          <w:color w:val="000000"/>
          <w:u w:val="single"/>
        </w:rPr>
      </w:pPr>
      <w:r>
        <w:rPr>
          <w:color w:val="000000"/>
          <w:u w:val="single"/>
        </w:rPr>
        <w:t>New Hires</w:t>
      </w:r>
    </w:p>
    <w:p>
      <w:pPr>
        <w:pStyle w:val="Department"/>
        <w:numPr>
          <w:ilvl w:val="0"/>
          <w:numId w:val="2"/>
        </w:numPr>
        <w:spacing w:before="120" w:after="0"/>
        <w:ind w:hanging="360" w:start="720" w:end="0"/>
        <w:rPr>
          <w:color w:val="000000"/>
        </w:rPr>
      </w:pPr>
      <w:r>
        <w:rPr>
          <w:color w:val="000000"/>
        </w:rPr>
        <w:t>Program Management will place new Analysts in the first rotation.  We will attempt to take into consideration both your interests and the needs of the business</w:t>
      </w:r>
    </w:p>
    <w:p>
      <w:pPr>
        <w:pStyle w:val="Department"/>
        <w:rPr>
          <w:color w:val="000000"/>
        </w:rPr>
      </w:pPr>
      <w:r>
        <w:rPr>
          <w:color w:val="000000"/>
        </w:rPr>
      </w:r>
    </w:p>
    <w:p>
      <w:pPr>
        <w:pStyle w:val="Department"/>
        <w:rPr>
          <w:color w:val="000000"/>
          <w:u w:val="single"/>
        </w:rPr>
      </w:pPr>
      <w:r>
        <w:rPr>
          <w:color w:val="000000"/>
          <w:u w:val="single"/>
        </w:rPr>
        <w:t>Subsequent Rotations</w:t>
      </w:r>
    </w:p>
    <w:p>
      <w:pPr>
        <w:pStyle w:val="Department"/>
        <w:numPr>
          <w:ilvl w:val="0"/>
          <w:numId w:val="3"/>
        </w:numPr>
        <w:tabs>
          <w:tab w:val="left" w:pos="720" w:leader="none"/>
        </w:tabs>
        <w:spacing w:before="120" w:after="0"/>
        <w:ind w:hanging="360" w:start="720" w:end="0"/>
        <w:rPr>
          <w:color w:val="000000"/>
        </w:rPr>
      </w:pPr>
      <w:r>
        <w:rPr>
          <w:color w:val="000000"/>
        </w:rPr>
        <w:t>Contact Elizabeth Boudreaux (x3-6176) 2 months before your rotation ends in order for other business units to be identified and contacted.  Elizabeth will assist you in obtaining subsequent rotations</w:t>
      </w:r>
    </w:p>
    <w:p>
      <w:pPr>
        <w:pStyle w:val="Department"/>
        <w:numPr>
          <w:ilvl w:val="0"/>
          <w:numId w:val="3"/>
        </w:numPr>
        <w:ind w:hanging="360" w:start="720" w:end="0"/>
        <w:rPr>
          <w:color w:val="000000"/>
        </w:rPr>
      </w:pPr>
      <w:r>
        <w:rPr>
          <w:color w:val="000000"/>
        </w:rPr>
        <w:t>You will be required to interview with potential business units.  It is imperative that you follow up with Elizabeth regarding the results of your interviews</w:t>
      </w:r>
    </w:p>
    <w:p>
      <w:pPr>
        <w:pStyle w:val="Department"/>
        <w:ind w:start="360" w:end="0"/>
        <w:rPr>
          <w:color w:val="000000"/>
        </w:rPr>
      </w:pPr>
      <w:r>
        <w:rPr>
          <w:color w:val="000000"/>
        </w:rPr>
      </w:r>
    </w:p>
    <w:p>
      <w:pPr>
        <w:pStyle w:val="Department"/>
        <w:rPr>
          <w:color w:val="000000"/>
        </w:rPr>
      </w:pPr>
      <w:r>
        <w:rPr>
          <w:color w:val="000000"/>
        </w:rPr>
        <w:t>In order for us to update and maintain our database and properly charge or stop charging a group for your salary, it is essential that the Program keep track of your rotations.  When a rotation has been agreed upon, you are responsible for providing the Program with the following information:</w:t>
      </w:r>
    </w:p>
    <w:p>
      <w:pPr>
        <w:pStyle w:val="Department"/>
        <w:rPr>
          <w:color w:val="000000"/>
        </w:rPr>
      </w:pPr>
      <w:r>
        <w:rPr>
          <w:color w:val="000000"/>
        </w:rPr>
      </w:r>
    </w:p>
    <w:tbl>
      <w:tblPr>
        <w:tblW w:w="8287" w:type="dxa"/>
        <w:jc w:val="start"/>
        <w:tblInd w:w="108" w:type="dxa"/>
        <w:tblLayout w:type="fixed"/>
        <w:tblCellMar>
          <w:top w:w="0" w:type="dxa"/>
          <w:start w:w="108" w:type="dxa"/>
          <w:bottom w:w="0" w:type="dxa"/>
          <w:end w:w="108" w:type="dxa"/>
        </w:tblCellMar>
      </w:tblPr>
      <w:tblGrid>
        <w:gridCol w:w="4140"/>
        <w:gridCol w:w="4147"/>
      </w:tblGrid>
      <w:tr>
        <w:trPr/>
        <w:tc>
          <w:tcPr>
            <w:tcW w:w="4140" w:type="dxa"/>
            <w:tcBorders/>
          </w:tcPr>
          <w:p>
            <w:pPr>
              <w:pStyle w:val="Department"/>
              <w:numPr>
                <w:ilvl w:val="0"/>
                <w:numId w:val="4"/>
              </w:numPr>
              <w:spacing w:before="60" w:after="0"/>
              <w:rPr>
                <w:color w:val="000000"/>
              </w:rPr>
            </w:pPr>
            <w:r>
              <w:rPr>
                <w:color w:val="000000"/>
              </w:rPr>
              <w:t>Company number</w:t>
              <w:tab/>
            </w:r>
          </w:p>
        </w:tc>
        <w:tc>
          <w:tcPr>
            <w:tcW w:w="4147" w:type="dxa"/>
            <w:tcBorders/>
          </w:tcPr>
          <w:p>
            <w:pPr>
              <w:pStyle w:val="Department"/>
              <w:numPr>
                <w:ilvl w:val="0"/>
                <w:numId w:val="6"/>
              </w:numPr>
              <w:spacing w:before="60" w:after="0"/>
              <w:rPr>
                <w:color w:val="000000"/>
              </w:rPr>
            </w:pPr>
            <w:r>
              <w:rPr>
                <w:color w:val="000000"/>
              </w:rPr>
              <w:t>Manager’s name</w:t>
            </w:r>
          </w:p>
        </w:tc>
      </w:tr>
      <w:tr>
        <w:trPr/>
        <w:tc>
          <w:tcPr>
            <w:tcW w:w="4140" w:type="dxa"/>
            <w:tcBorders/>
          </w:tcPr>
          <w:p>
            <w:pPr>
              <w:pStyle w:val="Department"/>
              <w:numPr>
                <w:ilvl w:val="0"/>
                <w:numId w:val="5"/>
              </w:numPr>
              <w:spacing w:before="60" w:after="0"/>
              <w:rPr>
                <w:color w:val="000000"/>
              </w:rPr>
            </w:pPr>
            <w:r>
              <w:rPr>
                <w:color w:val="000000"/>
              </w:rPr>
              <w:t xml:space="preserve">Cost Center number </w:t>
            </w:r>
          </w:p>
        </w:tc>
        <w:tc>
          <w:tcPr>
            <w:tcW w:w="4147" w:type="dxa"/>
            <w:tcBorders/>
          </w:tcPr>
          <w:p>
            <w:pPr>
              <w:pStyle w:val="Department"/>
              <w:numPr>
                <w:ilvl w:val="0"/>
                <w:numId w:val="5"/>
              </w:numPr>
              <w:spacing w:before="60" w:after="0"/>
              <w:rPr>
                <w:color w:val="000000"/>
              </w:rPr>
            </w:pPr>
            <w:r>
              <w:rPr>
                <w:color w:val="000000"/>
              </w:rPr>
              <w:t>Admin.’s name</w:t>
            </w:r>
          </w:p>
        </w:tc>
      </w:tr>
      <w:tr>
        <w:trPr/>
        <w:tc>
          <w:tcPr>
            <w:tcW w:w="4140" w:type="dxa"/>
            <w:tcBorders/>
          </w:tcPr>
          <w:p>
            <w:pPr>
              <w:pStyle w:val="Department"/>
              <w:numPr>
                <w:ilvl w:val="0"/>
                <w:numId w:val="5"/>
              </w:numPr>
              <w:spacing w:before="60" w:after="0"/>
              <w:rPr>
                <w:color w:val="000000"/>
              </w:rPr>
            </w:pPr>
            <w:r>
              <w:rPr>
                <w:color w:val="000000"/>
              </w:rPr>
              <w:t>Business unit name</w:t>
            </w:r>
          </w:p>
        </w:tc>
        <w:tc>
          <w:tcPr>
            <w:tcW w:w="4147" w:type="dxa"/>
            <w:tcBorders/>
          </w:tcPr>
          <w:p>
            <w:pPr>
              <w:pStyle w:val="Department"/>
              <w:numPr>
                <w:ilvl w:val="0"/>
                <w:numId w:val="5"/>
              </w:numPr>
              <w:spacing w:before="60" w:after="0"/>
              <w:rPr>
                <w:color w:val="000000"/>
              </w:rPr>
            </w:pPr>
            <w:r>
              <w:rPr>
                <w:color w:val="000000"/>
              </w:rPr>
              <w:t>Physical location</w:t>
            </w:r>
          </w:p>
        </w:tc>
      </w:tr>
    </w:tbl>
    <w:p>
      <w:pPr>
        <w:pStyle w:val="Department"/>
        <w:rPr>
          <w:color w:val="000000"/>
        </w:rPr>
      </w:pPr>
      <w:r>
        <w:rPr>
          <w:color w:val="000000"/>
        </w:rPr>
      </w:r>
    </w:p>
    <w:p>
      <w:pPr>
        <w:pStyle w:val="Department"/>
        <w:rPr/>
      </w:pPr>
      <w:r>
        <w:rPr>
          <w:color w:val="000000"/>
        </w:rPr>
        <w:t xml:space="preserve">This information should be emailed to Elizabeth at </w:t>
      </w:r>
      <w:hyperlink r:id="rId3">
        <w:r>
          <w:rPr>
            <w:rStyle w:val="Hyperlink"/>
          </w:rPr>
          <w:t>Elizabeth.Boudreaux@enron.com</w:t>
        </w:r>
      </w:hyperlink>
      <w:r>
        <w:rPr>
          <w:color w:val="000000"/>
        </w:rPr>
        <w:t>.</w:t>
      </w:r>
    </w:p>
    <w:p>
      <w:pPr>
        <w:pStyle w:val="Department"/>
        <w:rPr>
          <w:color w:val="000000"/>
        </w:rPr>
      </w:pPr>
      <w:r>
        <w:rPr>
          <w:color w:val="000000"/>
        </w:rPr>
      </w:r>
    </w:p>
    <w:p>
      <w:pPr>
        <w:pStyle w:val="Department"/>
        <w:rPr/>
      </w:pPr>
      <w:r>
        <w:rPr>
          <w:b/>
          <w:color w:val="000000"/>
          <w:u w:val="single"/>
        </w:rPr>
        <w:t>Timesheet Process</w:t>
      </w:r>
      <w:r>
        <w:rPr>
          <w:color w:val="000000"/>
        </w:rPr>
        <w:t>:</w:t>
      </w:r>
    </w:p>
    <w:p>
      <w:pPr>
        <w:pStyle w:val="Department"/>
        <w:spacing w:before="120" w:after="0"/>
        <w:rPr>
          <w:color w:val="000000"/>
        </w:rPr>
      </w:pPr>
      <w:r>
        <w:rPr>
          <w:color w:val="000000"/>
        </w:rPr>
        <w:t xml:space="preserve">Completing timesheets are mandatory for all employees.  Timesheets are to be completed twice a month.  This will allow you to be paid properly and will allow the Program to track your holiday and vacation time.  Please forward completed timesheets to Rebecca Torres at EB 1190. </w:t>
      </w:r>
    </w:p>
    <w:p>
      <w:pPr>
        <w:pStyle w:val="Department"/>
        <w:rPr>
          <w:color w:val="000000"/>
        </w:rPr>
      </w:pPr>
      <w:r>
        <w:rPr>
          <w:color w:val="000000"/>
        </w:rPr>
      </w:r>
    </w:p>
    <w:p>
      <w:pPr>
        <w:pStyle w:val="Department"/>
        <w:rPr>
          <w:lang w:eastAsia="en-US"/>
        </w:rPr>
      </w:pPr>
      <w:r>
        <w:rPr/>
        <w:t>Accurate information regarding time and rotations are critical to the Program facilitating your rotations and ensuring that you are paid properly.  Going forward, failure to supply the required information will delay receipt of your monthly salary.</w:t>
      </w:r>
    </w:p>
    <w:p>
      <w:pPr>
        <w:pStyle w:val="Normal"/>
        <w:spacing w:lineRule="atLeast" w:line="240"/>
        <w:rPr>
          <w:color w:val="000000"/>
          <w:sz w:val="20"/>
          <w:lang w:eastAsia="en-US"/>
        </w:rPr>
      </w:pPr>
      <w:r>
        <w:rPr>
          <w:color w:val="000000"/>
          <w:sz w:val="20"/>
          <w:lang w:eastAsia="en-US"/>
        </w:rPr>
        <w:t>If you have any questions regarding the Program guidelines, please contact Jana Giovannini at ext.  3-9233 or Celeste Roberts at ext. 3-0555.</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color w:val="000000"/>
          <w:sz w:val="20"/>
          <w:lang w:eastAsia="en-US"/>
        </w:rPr>
        <w:t>As Enron continues to innovate and move into new markets, the Programs will change in response.  We will keep you apprised of those changes as they occur.  I thank you in advance for your assistance and co-operation and look forward to meeting you on March 1</w:t>
      </w:r>
      <w:r>
        <w:rPr>
          <w:color w:val="000000"/>
          <w:sz w:val="20"/>
          <w:vertAlign w:val="superscript"/>
          <w:lang w:eastAsia="en-US"/>
        </w:rPr>
        <w:t>st</w:t>
      </w:r>
      <w:r>
        <w:rPr>
          <w:color w:val="000000"/>
          <w:sz w:val="20"/>
          <w:lang w:eastAsia="en-US"/>
        </w:rPr>
        <w:t>.</w:t>
      </w:r>
    </w:p>
    <w:p>
      <w:pPr>
        <w:pStyle w:val="Department"/>
        <w:ind w:start="1440" w:end="0"/>
        <w:rPr>
          <w:color w:val="000000"/>
          <w:sz w:val="20"/>
          <w:lang w:eastAsia="en-US"/>
        </w:rPr>
      </w:pPr>
      <w:r>
        <w:rPr>
          <w:color w:val="000000"/>
          <w:sz w:val="20"/>
          <w:lang w:eastAsia="en-US"/>
        </w:rPr>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lizabeth.Boudreaux@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2000-02-19T09:09:00Z</dcterms:created>
  <dc:creator>Jeff Ford</dc:creator>
  <dc:description/>
  <dc:language>en-CA</dc:language>
  <cp:lastModifiedBy>cjackso</cp:lastModifiedBy>
  <cp:lastPrinted>2000-02-22T05:15:00Z</cp:lastPrinted>
  <dcterms:modified xsi:type="dcterms:W3CDTF">2000-02-22T08:45:00Z</dcterms:modified>
  <cp:revision>6</cp:revision>
  <dc:subject/>
  <dc:title>Eron Capital &amp; Trade Resources Memo</dc:title>
</cp:coreProperties>
</file>