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r>
    </w:p>
    <w:p>
      <w:pPr>
        <w:pStyle w:val="Normal"/>
        <w:jc w:val="both"/>
        <w:rPr>
          <w:sz w:val="24"/>
          <w:szCs w:val="24"/>
        </w:rPr>
      </w:pPr>
      <w:r>
        <w:rPr>
          <w:sz w:val="24"/>
          <w:szCs w:val="24"/>
        </w:rPr>
        <w:t>[Date]</w:t>
      </w:r>
    </w:p>
    <w:p>
      <w:pPr>
        <w:pStyle w:val="Normal"/>
        <w:jc w:val="both"/>
        <w:rPr>
          <w:sz w:val="24"/>
          <w:szCs w:val="24"/>
        </w:rPr>
      </w:pPr>
      <w:r>
        <w:rPr>
          <w:sz w:val="24"/>
          <w:szCs w:val="24"/>
        </w:rPr>
      </w:r>
    </w:p>
    <w:p>
      <w:pPr>
        <w:pStyle w:val="Normal"/>
        <w:jc w:val="both"/>
        <w:rPr/>
      </w:pPr>
      <w:r>
        <w:rPr>
          <w:sz w:val="24"/>
          <w:szCs w:val="24"/>
        </w:rPr>
        <w:t xml:space="preserve">VIA FACSIMILE TO: </w:t>
      </w:r>
      <w:r>
        <w:rPr>
          <w:color w:val="0000FF"/>
          <w:sz w:val="24"/>
          <w:szCs w:val="24"/>
        </w:rPr>
        <w:t>[                                     ]</w:t>
      </w:r>
    </w:p>
    <w:p>
      <w:pPr>
        <w:pStyle w:val="Normal"/>
        <w:rPr>
          <w:color w:val="0000FF"/>
          <w:sz w:val="24"/>
          <w:szCs w:val="24"/>
        </w:rPr>
      </w:pPr>
      <w:r>
        <w:rPr>
          <w:color w:val="0000FF"/>
          <w:sz w:val="24"/>
          <w:szCs w:val="24"/>
        </w:rPr>
      </w:r>
    </w:p>
    <w:p>
      <w:pPr>
        <w:pStyle w:val="Normal"/>
        <w:jc w:val="both"/>
        <w:rPr>
          <w:color w:val="0000FF"/>
          <w:sz w:val="24"/>
          <w:szCs w:val="24"/>
        </w:rPr>
      </w:pPr>
      <w:r>
        <w:rPr>
          <w:color w:val="0000FF"/>
          <w:sz w:val="24"/>
          <w:szCs w:val="24"/>
        </w:rPr>
        <w:t>[Law Firm]</w:t>
      </w:r>
    </w:p>
    <w:p>
      <w:pPr>
        <w:pStyle w:val="Normal"/>
        <w:jc w:val="both"/>
        <w:rPr>
          <w:color w:val="0000FF"/>
          <w:sz w:val="24"/>
          <w:szCs w:val="24"/>
        </w:rPr>
      </w:pPr>
      <w:r>
        <w:rPr>
          <w:color w:val="0000FF"/>
          <w:sz w:val="24"/>
          <w:szCs w:val="24"/>
        </w:rPr>
        <w:t>[Address]</w:t>
      </w:r>
    </w:p>
    <w:p>
      <w:pPr>
        <w:pStyle w:val="Normal"/>
        <w:jc w:val="both"/>
        <w:rPr>
          <w:color w:val="0000FF"/>
          <w:sz w:val="24"/>
          <w:szCs w:val="24"/>
        </w:rPr>
      </w:pPr>
      <w:r>
        <w:rPr>
          <w:color w:val="0000FF"/>
          <w:sz w:val="24"/>
          <w:szCs w:val="24"/>
        </w:rPr>
        <w:t>[City]</w:t>
      </w:r>
    </w:p>
    <w:p>
      <w:pPr>
        <w:pStyle w:val="Normal"/>
        <w:jc w:val="both"/>
        <w:rPr>
          <w:color w:val="0000FF"/>
          <w:sz w:val="24"/>
          <w:szCs w:val="24"/>
        </w:rPr>
      </w:pPr>
      <w:r>
        <w:rPr>
          <w:color w:val="0000FF"/>
          <w:sz w:val="24"/>
          <w:szCs w:val="24"/>
        </w:rPr>
        <w:t>[Country]</w:t>
      </w:r>
    </w:p>
    <w:p>
      <w:pPr>
        <w:pStyle w:val="Normal"/>
        <w:jc w:val="both"/>
        <w:rPr>
          <w:color w:val="0000FF"/>
          <w:sz w:val="24"/>
          <w:szCs w:val="24"/>
        </w:rPr>
      </w:pPr>
      <w:r>
        <w:rPr>
          <w:color w:val="0000FF"/>
          <w:sz w:val="24"/>
          <w:szCs w:val="24"/>
        </w:rPr>
      </w:r>
    </w:p>
    <w:p>
      <w:pPr>
        <w:pStyle w:val="Header"/>
        <w:rPr/>
      </w:pPr>
      <w:r>
        <w:rPr>
          <w:sz w:val="24"/>
          <w:szCs w:val="24"/>
        </w:rPr>
        <w:t>Dear</w:t>
      </w:r>
      <w:r>
        <w:rPr>
          <w:color w:val="0000FF"/>
          <w:sz w:val="24"/>
          <w:szCs w:val="24"/>
        </w:rPr>
        <w:t xml:space="preserve"> _________________:</w:t>
      </w:r>
    </w:p>
    <w:p>
      <w:pPr>
        <w:pStyle w:val="Normal"/>
        <w:jc w:val="both"/>
        <w:rPr>
          <w:sz w:val="24"/>
          <w:szCs w:val="24"/>
        </w:rPr>
      </w:pPr>
      <w:r>
        <w:rPr>
          <w:sz w:val="24"/>
          <w:szCs w:val="24"/>
        </w:rPr>
        <w:t xml:space="preserve">                                                                                                                            </w:t>
      </w:r>
    </w:p>
    <w:p>
      <w:pPr>
        <w:pStyle w:val="Normal"/>
        <w:jc w:val="both"/>
        <w:rPr/>
      </w:pPr>
      <w:r>
        <w:rPr>
          <w:sz w:val="24"/>
          <w:szCs w:val="24"/>
        </w:rPr>
        <w:t xml:space="preserve">Confirming our telephone conversation of today, </w:t>
      </w:r>
      <w:r>
        <w:rPr>
          <w:color w:val="0000FF"/>
          <w:sz w:val="24"/>
          <w:szCs w:val="24"/>
        </w:rPr>
        <w:t>[insert name of Enron entity requesting advise].</w:t>
      </w:r>
      <w:r>
        <w:rPr>
          <w:sz w:val="24"/>
          <w:szCs w:val="24"/>
        </w:rPr>
        <w:t xml:space="preserve"> (a U.S. corporation organized under the laws of the state of Delaware with its corporate headquarters in Houston, Texas, referred to herein as </w:t>
      </w:r>
      <w:r>
        <w:rPr>
          <w:color w:val="0000FF"/>
          <w:sz w:val="24"/>
          <w:szCs w:val="24"/>
        </w:rPr>
        <w:t>“[      ]”</w:t>
      </w:r>
      <w:r>
        <w:rPr>
          <w:sz w:val="24"/>
          <w:szCs w:val="24"/>
        </w:rPr>
        <w:t xml:space="preserve">) or an affiliated U.S. company is considering entering into transactions involving both the purchase and sale of liquid fuels (e.g., natural gas liquids, liquid petroleum gas, residual fuel oil, diesel oil, naphtha, condensate, and/or other petroleum-based fuels or petrochemicals) (hereinafter referred to as “Liquid Fuels”), with companies in </w:t>
      </w:r>
      <w:r>
        <w:rPr>
          <w:color w:val="0000FF"/>
          <w:sz w:val="24"/>
          <w:szCs w:val="24"/>
        </w:rPr>
        <w:t>[insert name of the Country and/or region].</w:t>
      </w:r>
      <w:r>
        <w:rPr>
          <w:sz w:val="24"/>
          <w:szCs w:val="24"/>
        </w:rPr>
        <w:t xml:space="preserve"> Prior to engaging in such transactions we would like to obtain from your firm a written estimate of the costs for providing written advice on certain issues set out below.  </w:t>
      </w:r>
      <w:r>
        <w:rPr>
          <w:color w:val="0000FF"/>
          <w:sz w:val="24"/>
          <w:szCs w:val="24"/>
        </w:rPr>
        <w:t>[If previous research was done and need update, enter the date when such research was prepared and the name of the Enron attorney that it was prepared for (i.e. you addressed some of the issues in your letter of November 15, 1996 to Mr. Bob Carter.)]</w:t>
      </w:r>
      <w:r>
        <w:rPr>
          <w:sz w:val="24"/>
          <w:szCs w:val="24"/>
        </w:rPr>
        <w:t xml:space="preserve">  </w:t>
      </w:r>
      <w:r>
        <w:rPr>
          <w:b/>
          <w:bCs/>
          <w:sz w:val="24"/>
          <w:szCs w:val="24"/>
        </w:rPr>
        <w:t>Prior to engaging in such transactions we would like to obtain from your firm a written estimate of the costs for providing written advice on certain issues set out below.</w:t>
      </w:r>
      <w:r>
        <w:rPr>
          <w:sz w:val="24"/>
          <w:szCs w:val="24"/>
        </w:rPr>
        <w:t xml:space="preserve">  If any of these issues are particularly difficult to answer or will require an excessive amount of research to be done to be adequately addressed, please advise me accordingly.  Also, please indicate where relevant whether there is any presently foreseeable change in the current law which would meaningfully affect a response to any of these inquiries.  </w:t>
      </w:r>
    </w:p>
    <w:p>
      <w:pPr>
        <w:pStyle w:val="BodyText"/>
        <w:rPr/>
      </w:pPr>
      <w:r>
        <w:rPr/>
        <w:t xml:space="preserve">As background, the trading of Liquid Fuels would involve the selling and purchasing of such commodities in spot (single trade), short-term (six months or less) or long-term (over six months) transactions.  Purchases by </w:t>
      </w:r>
      <w:r>
        <w:rPr>
          <w:color w:val="0000FF"/>
        </w:rPr>
        <w:t>[Enron entity]</w:t>
      </w:r>
      <w:r>
        <w:rPr/>
        <w:t xml:space="preserve"> would most likely be structured on an FOB or CFR basis, outside of customs, at a port located in your country or outside your country with title and risk of loss of the product passing to </w:t>
      </w:r>
      <w:r>
        <w:rPr>
          <w:color w:val="0000FF"/>
        </w:rPr>
        <w:t>[Enron entity]</w:t>
      </w:r>
      <w:r>
        <w:rPr/>
        <w:t xml:space="preserve"> at the loading port.  Sales of Liquid Fuels by </w:t>
      </w:r>
      <w:r>
        <w:rPr>
          <w:color w:val="0000FF"/>
        </w:rPr>
        <w:t>[Enron entity]</w:t>
      </w:r>
      <w:r>
        <w:rPr/>
        <w:t xml:space="preserve"> would most likely be structured on a Delivered Ex-Ship basis, with </w:t>
      </w:r>
      <w:r>
        <w:rPr>
          <w:color w:val="0000FF"/>
        </w:rPr>
        <w:t>[Enron entity]</w:t>
      </w:r>
      <w:r>
        <w:rPr/>
        <w:t>’s counterparty as the importer of record, at a port located in your country with title and risk of loss of the product passing to the Purchaser at the ship’s flange at the unloading port in your country.</w:t>
      </w:r>
    </w:p>
    <w:p>
      <w:pPr>
        <w:pStyle w:val="Heading4"/>
        <w:ind w:hanging="0" w:start="0"/>
        <w:rPr/>
      </w:pPr>
      <w:r>
        <w:rPr/>
        <w:t>ISSUES</w:t>
      </w:r>
    </w:p>
    <w:p>
      <w:pPr>
        <w:pStyle w:val="Normal"/>
        <w:spacing w:before="120" w:after="0"/>
        <w:jc w:val="both"/>
        <w:rPr>
          <w:b/>
          <w:bCs/>
          <w:sz w:val="24"/>
          <w:szCs w:val="24"/>
        </w:rPr>
      </w:pPr>
      <w:r>
        <w:rPr>
          <w:b/>
          <w:bCs/>
          <w:sz w:val="24"/>
          <w:szCs w:val="24"/>
        </w:rPr>
        <w:t>1.         Arbitration</w:t>
      </w:r>
    </w:p>
    <w:p>
      <w:pPr>
        <w:pStyle w:val="Normal"/>
        <w:numPr>
          <w:ilvl w:val="0"/>
          <w:numId w:val="2"/>
        </w:numPr>
        <w:tabs>
          <w:tab w:val="clear" w:pos="720"/>
          <w:tab w:val="left" w:pos="0" w:leader="none"/>
        </w:tabs>
        <w:spacing w:before="120" w:after="0"/>
        <w:ind w:hanging="720" w:start="1440" w:end="0"/>
        <w:jc w:val="both"/>
        <w:rPr>
          <w:sz w:val="24"/>
          <w:szCs w:val="24"/>
        </w:rPr>
      </w:pPr>
      <w:r>
        <w:rPr>
          <w:sz w:val="24"/>
          <w:szCs w:val="24"/>
        </w:rPr>
        <w:t>Will your courts enforce a contractual arbitration clause that specifies arbitration in London, Paris or New York under the Rules of Conciliation  and Arbitration of the International Chamber of Commerce ( “ICC”); or under the Rules of the London Court of International Arbitration (“LCIA”); or  under the Rules of the American Arbitration Association (“AAA”)?</w:t>
      </w:r>
    </w:p>
    <w:p>
      <w:pPr>
        <w:pStyle w:val="Normal"/>
        <w:numPr>
          <w:ilvl w:val="0"/>
          <w:numId w:val="2"/>
        </w:numPr>
        <w:tabs>
          <w:tab w:val="clear" w:pos="720"/>
          <w:tab w:val="left" w:pos="0" w:leader="none"/>
        </w:tabs>
        <w:spacing w:before="120" w:after="0"/>
        <w:ind w:hanging="720" w:start="1440" w:end="0"/>
        <w:jc w:val="both"/>
        <w:rPr>
          <w:sz w:val="24"/>
          <w:szCs w:val="24"/>
        </w:rPr>
      </w:pPr>
      <w:r>
        <w:rPr>
          <w:sz w:val="24"/>
          <w:szCs w:val="24"/>
        </w:rPr>
        <w:t>Will your courts stop or delay litigation proceedings in deference to pending arbitration proceedings under enforceable arbitration agreements?</w:t>
      </w:r>
    </w:p>
    <w:p>
      <w:pPr>
        <w:pStyle w:val="Normal"/>
        <w:numPr>
          <w:ilvl w:val="0"/>
          <w:numId w:val="2"/>
        </w:numPr>
        <w:tabs>
          <w:tab w:val="clear" w:pos="720"/>
          <w:tab w:val="left" w:pos="0" w:leader="none"/>
        </w:tabs>
        <w:spacing w:before="120" w:after="0"/>
        <w:ind w:hanging="720" w:start="1440" w:end="0"/>
        <w:jc w:val="both"/>
        <w:rPr>
          <w:sz w:val="24"/>
          <w:szCs w:val="24"/>
        </w:rPr>
      </w:pPr>
      <w:r>
        <w:rPr>
          <w:sz w:val="24"/>
          <w:szCs w:val="24"/>
        </w:rPr>
        <w:t>Are there any local or national laws that would prevent, create additional requirements for, or place restrictions on, a binding agreement to arbitrate?</w:t>
      </w:r>
    </w:p>
    <w:p>
      <w:pPr>
        <w:pStyle w:val="Normal"/>
        <w:numPr>
          <w:ilvl w:val="0"/>
          <w:numId w:val="2"/>
        </w:numPr>
        <w:tabs>
          <w:tab w:val="clear" w:pos="720"/>
          <w:tab w:val="left" w:pos="0" w:leader="none"/>
        </w:tabs>
        <w:spacing w:before="120" w:after="0"/>
        <w:ind w:hanging="720" w:start="1440" w:end="0"/>
        <w:jc w:val="both"/>
        <w:rPr>
          <w:sz w:val="24"/>
          <w:szCs w:val="24"/>
        </w:rPr>
      </w:pPr>
      <w:r>
        <w:rPr>
          <w:sz w:val="24"/>
          <w:szCs w:val="24"/>
        </w:rPr>
        <w:t>Has your country signed and/or ratified any international conventions or agreements regarding the arbitration of disputes, e.g., the U.N. Convention on the Recognition and Enforcement of Foreign Arbitral Awards (New York Convention), the Inter-American (Panama) Convention on International Commercial Arbitration of 1975 or the Convention on the Settlement of Investment Disputes of 1965?</w:t>
      </w:r>
    </w:p>
    <w:p>
      <w:pPr>
        <w:pStyle w:val="Normal"/>
        <w:numPr>
          <w:ilvl w:val="0"/>
          <w:numId w:val="2"/>
        </w:numPr>
        <w:tabs>
          <w:tab w:val="clear" w:pos="720"/>
          <w:tab w:val="left" w:pos="0" w:leader="none"/>
        </w:tabs>
        <w:spacing w:before="120" w:after="0"/>
        <w:ind w:hanging="720" w:start="1440" w:end="0"/>
        <w:jc w:val="both"/>
        <w:rPr>
          <w:sz w:val="24"/>
          <w:szCs w:val="24"/>
        </w:rPr>
      </w:pPr>
      <w:r>
        <w:rPr>
          <w:sz w:val="24"/>
          <w:szCs w:val="24"/>
        </w:rPr>
        <w:t>Do your laws afford reciprocal recognition and enforcement of foreign arbitral awards  rendered in Paris, London or New York and entered against a citizen or company domiciled in your country?  To what extent, if any, would your courts have the right to hear an appeal of a foreign arbitral award?</w:t>
      </w:r>
    </w:p>
    <w:p>
      <w:pPr>
        <w:pStyle w:val="Normal"/>
        <w:numPr>
          <w:ilvl w:val="0"/>
          <w:numId w:val="2"/>
        </w:numPr>
        <w:tabs>
          <w:tab w:val="clear" w:pos="720"/>
          <w:tab w:val="left" w:pos="0" w:leader="none"/>
        </w:tabs>
        <w:spacing w:before="120" w:after="0"/>
        <w:ind w:hanging="720" w:start="1440" w:end="0"/>
        <w:jc w:val="both"/>
        <w:rPr>
          <w:sz w:val="24"/>
          <w:szCs w:val="24"/>
        </w:rPr>
      </w:pPr>
      <w:r>
        <w:rPr>
          <w:sz w:val="24"/>
          <w:szCs w:val="24"/>
        </w:rPr>
        <w:t>Will your courts enforce a contractual jurisdiction clause that specifies that the parties agree that the laws of New York or England shall govern the interpretation and enforcement of their agreement?</w:t>
      </w:r>
    </w:p>
    <w:p>
      <w:pPr>
        <w:pStyle w:val="Heading3"/>
        <w:ind w:hanging="0" w:start="0"/>
        <w:rPr/>
      </w:pPr>
      <w:r>
        <w:rPr>
          <w:rFonts w:eastAsia="Times New Roman" w:cs="Times New Roman" w:ascii="Times New Roman" w:hAnsi="Times New Roman"/>
          <w:b/>
          <w:bCs/>
        </w:rPr>
        <w:t>2.         Sovereign Immunity</w:t>
      </w:r>
      <w:r>
        <w:rPr>
          <w:rFonts w:eastAsia="Times New Roman" w:cs="Times New Roman" w:ascii="Times New Roman" w:hAnsi="Times New Roman"/>
        </w:rPr>
        <w:t xml:space="preserve"> </w:t>
      </w:r>
    </w:p>
    <w:p>
      <w:pPr>
        <w:pStyle w:val="Normal"/>
        <w:numPr>
          <w:ilvl w:val="0"/>
          <w:numId w:val="3"/>
        </w:numPr>
        <w:tabs>
          <w:tab w:val="clear" w:pos="720"/>
          <w:tab w:val="left" w:pos="0" w:leader="none"/>
        </w:tabs>
        <w:spacing w:before="120" w:after="0"/>
        <w:ind w:hanging="720" w:start="1440" w:end="0"/>
        <w:jc w:val="both"/>
        <w:rPr>
          <w:b/>
          <w:bCs/>
          <w:sz w:val="24"/>
          <w:szCs w:val="24"/>
        </w:rPr>
      </w:pPr>
      <w:r>
        <w:rPr>
          <w:sz w:val="24"/>
          <w:szCs w:val="24"/>
        </w:rPr>
        <w:t xml:space="preserve">If </w:t>
      </w:r>
      <w:r>
        <w:rPr>
          <w:color w:val="0000FF"/>
        </w:rPr>
        <w:t>[Enron entity]</w:t>
      </w:r>
      <w:r>
        <w:rPr/>
        <w:t xml:space="preserve"> </w:t>
      </w:r>
      <w:r>
        <w:rPr>
          <w:sz w:val="24"/>
          <w:szCs w:val="24"/>
        </w:rPr>
        <w:t xml:space="preserve">were to buy from or sell to a commercial entity, owned in whole or part by the government, would such an entity be granted  immunity from suit, process, discovery, attachment of assets or execution of judgments, either in the form of sovereign immunity or otherwise in the event of a legal  proceeding? </w:t>
      </w:r>
    </w:p>
    <w:p>
      <w:pPr>
        <w:pStyle w:val="Heading3"/>
        <w:spacing w:before="120" w:after="0"/>
        <w:ind w:hanging="0" w:start="0"/>
        <w:jc w:val="both"/>
        <w:rPr>
          <w:rFonts w:ascii="Times New Roman" w:hAnsi="Times New Roman" w:eastAsia="Times New Roman" w:cs="Times New Roman"/>
          <w:b/>
          <w:bCs/>
        </w:rPr>
      </w:pPr>
      <w:r>
        <w:rPr>
          <w:rFonts w:eastAsia="Times New Roman" w:cs="Times New Roman" w:ascii="Times New Roman" w:hAnsi="Times New Roman"/>
          <w:b/>
          <w:bCs/>
        </w:rPr>
        <w:t>3.</w:t>
        <w:tab/>
        <w:t>Bid and Performance Bonds and General Remedies</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Is it difficult to obtain the release of bid and performance bonds?  Are there specific contractual provisions you would recommend  to facilitate the release of such bonds?</w:t>
      </w:r>
    </w:p>
    <w:p>
      <w:pPr>
        <w:pStyle w:val="Normal"/>
        <w:numPr>
          <w:ilvl w:val="0"/>
          <w:numId w:val="4"/>
        </w:numPr>
        <w:tabs>
          <w:tab w:val="clear" w:pos="720"/>
          <w:tab w:val="left" w:pos="0" w:leader="none"/>
        </w:tabs>
        <w:spacing w:before="120" w:after="0"/>
        <w:ind w:hanging="720" w:start="1440" w:end="0"/>
        <w:jc w:val="both"/>
        <w:rPr/>
      </w:pPr>
      <w:r>
        <w:rPr>
          <w:sz w:val="24"/>
          <w:szCs w:val="24"/>
        </w:rPr>
        <w:t xml:space="preserve">If a bond is put in place and </w:t>
      </w:r>
      <w:r>
        <w:rPr>
          <w:color w:val="0000FF"/>
        </w:rPr>
        <w:t>[Enron entity]</w:t>
      </w:r>
      <w:r>
        <w:rPr/>
        <w:t xml:space="preserve"> </w:t>
      </w:r>
      <w:r>
        <w:rPr>
          <w:sz w:val="24"/>
          <w:szCs w:val="24"/>
        </w:rPr>
        <w:t xml:space="preserve">were to breach a supply agreement, would the purchaser have a right to money damages in addition to drawing against             the bond?                                                                                                                                                                                </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Does a purchaser have an implied right under your law to obtain “cover damages” in the event of seller’s failure to supply , i.e., the right to purchase comparable goods elsewhere and obtain reimbursement from the seller for the difference between the price of the substitute goods and the contract price when the contract price is less?</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 xml:space="preserve">What remedies in general does a seller have in the event a purchaser fails to take product  in a non force majeure situation? </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Under your law does a seller have a lien or charge against the product sold to the buyer if the buyer fails to pay for the product?</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Would an agreement between a buyer and a seller providing  that they will seek only actual damages in the event of a claim, but not punitive or consequential damages be honored under your laws?</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Can a seller suspend and/or terminate its performance under a contract in the event of breach by the buyer, e.g., buyer’s failure to pay for delivered goods ?</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Do your laws provide a buyer with an implied right to indemnification from the seller in the event the buyer or a third party is injured by the goods resulting in money damages against the buyer?  Can the seller limit such product liability?</w:t>
      </w:r>
    </w:p>
    <w:p>
      <w:pPr>
        <w:pStyle w:val="Normal"/>
        <w:numPr>
          <w:ilvl w:val="0"/>
          <w:numId w:val="4"/>
        </w:numPr>
        <w:tabs>
          <w:tab w:val="clear" w:pos="720"/>
          <w:tab w:val="left" w:pos="0" w:leader="none"/>
        </w:tabs>
        <w:spacing w:before="120" w:after="0"/>
        <w:ind w:hanging="720" w:start="1440" w:end="0"/>
        <w:jc w:val="both"/>
        <w:rPr>
          <w:sz w:val="24"/>
          <w:szCs w:val="24"/>
        </w:rPr>
      </w:pPr>
      <w:r>
        <w:rPr>
          <w:sz w:val="24"/>
          <w:szCs w:val="24"/>
        </w:rPr>
        <w:t>Under your commercial laws and regulations are there any provisions that would provide unusual remedies or rights to a seller or buyer that one would not expect to find under U.S. or English laws?</w:t>
      </w:r>
    </w:p>
    <w:p>
      <w:pPr>
        <w:pStyle w:val="Heading3"/>
        <w:spacing w:before="120" w:after="0"/>
        <w:ind w:hanging="0" w:start="0"/>
        <w:jc w:val="both"/>
        <w:rPr>
          <w:rFonts w:ascii="Times New Roman" w:hAnsi="Times New Roman" w:eastAsia="Times New Roman" w:cs="Times New Roman"/>
          <w:b/>
          <w:bCs/>
        </w:rPr>
      </w:pPr>
      <w:r>
        <w:rPr>
          <w:rFonts w:eastAsia="Times New Roman" w:cs="Times New Roman" w:ascii="Times New Roman" w:hAnsi="Times New Roman"/>
          <w:b/>
          <w:bCs/>
        </w:rPr>
      </w:r>
    </w:p>
    <w:p>
      <w:pPr>
        <w:pStyle w:val="Heading3"/>
        <w:spacing w:before="120" w:after="0"/>
        <w:ind w:hanging="0" w:start="0"/>
        <w:jc w:val="both"/>
        <w:rPr>
          <w:rFonts w:ascii="Times New Roman" w:hAnsi="Times New Roman" w:eastAsia="Times New Roman" w:cs="Times New Roman"/>
          <w:b/>
          <w:bCs/>
        </w:rPr>
      </w:pPr>
      <w:r>
        <w:rPr>
          <w:rFonts w:eastAsia="Times New Roman" w:cs="Times New Roman" w:ascii="Times New Roman" w:hAnsi="Times New Roman"/>
          <w:b/>
          <w:bCs/>
        </w:rPr>
        <w:t>4.          Product Warranties</w:t>
      </w:r>
    </w:p>
    <w:p>
      <w:pPr>
        <w:pStyle w:val="Normal"/>
        <w:numPr>
          <w:ilvl w:val="0"/>
          <w:numId w:val="5"/>
        </w:numPr>
        <w:tabs>
          <w:tab w:val="clear" w:pos="720"/>
          <w:tab w:val="left" w:pos="0" w:leader="none"/>
        </w:tabs>
        <w:spacing w:before="120" w:after="0"/>
        <w:ind w:hanging="720" w:start="1440" w:end="0"/>
        <w:jc w:val="both"/>
        <w:rPr>
          <w:sz w:val="24"/>
          <w:szCs w:val="24"/>
        </w:rPr>
      </w:pPr>
      <w:r>
        <w:rPr>
          <w:sz w:val="24"/>
          <w:szCs w:val="24"/>
        </w:rPr>
        <w:t>Does your law provide for implied product warranties, e.g., a product will be fit for a particular purpose or will be generally suitable for normal use, etc.?</w:t>
      </w:r>
    </w:p>
    <w:p>
      <w:pPr>
        <w:pStyle w:val="Normal"/>
        <w:numPr>
          <w:ilvl w:val="0"/>
          <w:numId w:val="5"/>
        </w:numPr>
        <w:tabs>
          <w:tab w:val="clear" w:pos="720"/>
          <w:tab w:val="left" w:pos="0" w:leader="none"/>
        </w:tabs>
        <w:spacing w:before="120" w:after="0"/>
        <w:ind w:hanging="720" w:start="1440" w:end="0"/>
        <w:jc w:val="both"/>
        <w:rPr>
          <w:sz w:val="24"/>
          <w:szCs w:val="24"/>
        </w:rPr>
      </w:pPr>
      <w:r>
        <w:rPr>
          <w:sz w:val="24"/>
          <w:szCs w:val="24"/>
        </w:rPr>
        <w:t>Can a seller contractually validly limit or disclaim all implied product warranties?</w:t>
      </w:r>
    </w:p>
    <w:p>
      <w:pPr>
        <w:pStyle w:val="Normal"/>
        <w:numPr>
          <w:ilvl w:val="0"/>
          <w:numId w:val="5"/>
        </w:numPr>
        <w:tabs>
          <w:tab w:val="clear" w:pos="720"/>
          <w:tab w:val="left" w:pos="0" w:leader="none"/>
        </w:tabs>
        <w:spacing w:before="120" w:after="0"/>
        <w:ind w:hanging="720" w:start="1440" w:end="0"/>
        <w:jc w:val="both"/>
        <w:rPr>
          <w:sz w:val="24"/>
          <w:szCs w:val="24"/>
        </w:rPr>
      </w:pPr>
      <w:r>
        <w:rPr>
          <w:sz w:val="24"/>
          <w:szCs w:val="24"/>
        </w:rPr>
        <w:t>What are the general remedies available to a buyer if a seller breaches a product warranty?</w:t>
      </w:r>
    </w:p>
    <w:p>
      <w:pPr>
        <w:pStyle w:val="Normal"/>
        <w:numPr>
          <w:ilvl w:val="0"/>
          <w:numId w:val="5"/>
        </w:numPr>
        <w:tabs>
          <w:tab w:val="clear" w:pos="720"/>
          <w:tab w:val="left" w:pos="0" w:leader="none"/>
        </w:tabs>
        <w:spacing w:before="120" w:after="0"/>
        <w:ind w:hanging="720" w:start="1440" w:end="0"/>
        <w:jc w:val="both"/>
        <w:rPr>
          <w:sz w:val="24"/>
          <w:szCs w:val="24"/>
        </w:rPr>
      </w:pPr>
      <w:r>
        <w:rPr>
          <w:sz w:val="24"/>
          <w:szCs w:val="24"/>
        </w:rPr>
        <w:t>Can a seller limit the remedies of a buyer  in the case of a breach of a product warranty to replacement of the product or refund of the purchase price at seller’s option?</w:t>
      </w:r>
    </w:p>
    <w:p>
      <w:pPr>
        <w:pStyle w:val="Normal"/>
        <w:spacing w:before="120" w:after="0"/>
        <w:jc w:val="both"/>
        <w:rPr>
          <w:sz w:val="24"/>
          <w:szCs w:val="24"/>
        </w:rPr>
      </w:pPr>
      <w:r>
        <w:rPr>
          <w:b/>
          <w:bCs/>
          <w:sz w:val="24"/>
          <w:szCs w:val="24"/>
        </w:rPr>
        <w:t>5.         Environmental Laws</w:t>
      </w:r>
    </w:p>
    <w:p>
      <w:pPr>
        <w:pStyle w:val="Normal"/>
        <w:numPr>
          <w:ilvl w:val="0"/>
          <w:numId w:val="6"/>
        </w:numPr>
        <w:tabs>
          <w:tab w:val="clear" w:pos="720"/>
          <w:tab w:val="left" w:pos="0" w:leader="none"/>
        </w:tabs>
        <w:spacing w:before="120" w:after="0"/>
        <w:ind w:hanging="720" w:start="1440" w:end="0"/>
        <w:jc w:val="both"/>
        <w:rPr>
          <w:sz w:val="24"/>
          <w:szCs w:val="24"/>
        </w:rPr>
      </w:pPr>
      <w:r>
        <w:rPr>
          <w:sz w:val="24"/>
          <w:szCs w:val="24"/>
        </w:rPr>
        <w:t xml:space="preserve">What is the liability for an oil or fuel product spill in the waters of your country for a cargo owner, charterer or vessel owner?  Are there special clean-up requirements or controls?  Are there spill taxes? </w:t>
      </w:r>
    </w:p>
    <w:p>
      <w:pPr>
        <w:pStyle w:val="Heading3"/>
        <w:spacing w:before="120" w:after="0"/>
        <w:ind w:hanging="0" w:start="0"/>
        <w:jc w:val="both"/>
        <w:rPr>
          <w:rFonts w:ascii="Times New Roman" w:hAnsi="Times New Roman" w:eastAsia="Times New Roman" w:cs="Times New Roman"/>
          <w:b/>
          <w:bCs/>
        </w:rPr>
      </w:pPr>
      <w:r>
        <w:rPr>
          <w:rFonts w:eastAsia="Times New Roman" w:cs="Times New Roman" w:ascii="Times New Roman" w:hAnsi="Times New Roman"/>
          <w:b/>
          <w:bCs/>
        </w:rPr>
        <w:t>6.         Boycott Laws</w:t>
      </w:r>
    </w:p>
    <w:p>
      <w:pPr>
        <w:pStyle w:val="Heading3"/>
        <w:numPr>
          <w:ilvl w:val="0"/>
          <w:numId w:val="7"/>
        </w:numPr>
        <w:tabs>
          <w:tab w:val="clear" w:pos="720"/>
          <w:tab w:val="left" w:pos="0" w:leader="none"/>
        </w:tabs>
        <w:spacing w:before="120" w:after="0"/>
        <w:ind w:hanging="720" w:start="1440" w:end="0"/>
        <w:jc w:val="both"/>
        <w:rPr>
          <w:rFonts w:ascii="Times New Roman" w:hAnsi="Times New Roman" w:eastAsia="Times New Roman" w:cs="Times New Roman"/>
        </w:rPr>
      </w:pPr>
      <w:r>
        <w:rPr>
          <w:rFonts w:eastAsia="Times New Roman" w:cs="Times New Roman" w:ascii="Times New Roman" w:hAnsi="Times New Roman"/>
        </w:rPr>
        <w:t>Does local law require the participation in or cooperation with an international boycott?</w:t>
      </w:r>
    </w:p>
    <w:p>
      <w:pPr>
        <w:pStyle w:val="Normal"/>
        <w:numPr>
          <w:ilvl w:val="0"/>
          <w:numId w:val="7"/>
        </w:numPr>
        <w:tabs>
          <w:tab w:val="clear" w:pos="720"/>
          <w:tab w:val="left" w:pos="0" w:leader="none"/>
        </w:tabs>
        <w:spacing w:before="120" w:after="0"/>
        <w:ind w:hanging="720" w:start="1440" w:end="0"/>
        <w:jc w:val="both"/>
        <w:rPr>
          <w:sz w:val="24"/>
          <w:szCs w:val="24"/>
        </w:rPr>
      </w:pPr>
      <w:r>
        <w:rPr>
          <w:sz w:val="24"/>
          <w:szCs w:val="24"/>
        </w:rPr>
        <w:t>Are there any trade control, sanction or restriction laws (such as not allowing entry of vessels flying the flags of certain countries) in your country that would impact the purchase and/or sale of Liquid Fuels?</w:t>
      </w:r>
    </w:p>
    <w:p>
      <w:pPr>
        <w:pStyle w:val="Heading3"/>
        <w:ind w:hanging="0" w:start="0"/>
        <w:rPr>
          <w:rFonts w:ascii="Times New Roman" w:hAnsi="Times New Roman" w:eastAsia="Times New Roman" w:cs="Times New Roman"/>
          <w:b/>
          <w:bCs/>
        </w:rPr>
      </w:pPr>
      <w:r>
        <w:rPr>
          <w:rFonts w:eastAsia="Times New Roman" w:cs="Times New Roman" w:ascii="Times New Roman" w:hAnsi="Times New Roman"/>
          <w:b/>
          <w:bCs/>
        </w:rPr>
        <w:t>7.         Taxes</w:t>
      </w:r>
    </w:p>
    <w:p>
      <w:pPr>
        <w:pStyle w:val="Normal"/>
        <w:rPr>
          <w:rFonts w:ascii="Times New Roman" w:hAnsi="Times New Roman" w:eastAsia="Times New Roman" w:cs="Times New Roman"/>
          <w:b/>
          <w:bCs/>
          <w:sz w:val="24"/>
          <w:szCs w:val="24"/>
        </w:rPr>
      </w:pPr>
      <w:r>
        <w:rPr>
          <w:rFonts w:eastAsia="Times New Roman" w:cs="Times New Roman"/>
          <w:b/>
          <w:bCs/>
          <w:sz w:val="24"/>
          <w:szCs w:val="24"/>
        </w:rPr>
      </w:r>
    </w:p>
    <w:p>
      <w:pPr>
        <w:pStyle w:val="Normal"/>
        <w:numPr>
          <w:ilvl w:val="0"/>
          <w:numId w:val="8"/>
        </w:numPr>
        <w:tabs>
          <w:tab w:val="clear" w:pos="720"/>
          <w:tab w:val="left" w:pos="0" w:leader="none"/>
        </w:tabs>
        <w:ind w:hanging="720" w:start="1440" w:end="0"/>
        <w:rPr>
          <w:sz w:val="24"/>
          <w:szCs w:val="24"/>
        </w:rPr>
      </w:pPr>
      <w:r>
        <w:rPr>
          <w:sz w:val="24"/>
          <w:szCs w:val="24"/>
        </w:rPr>
        <w:t>Does maintaining product inventory or appointing an agent for service of process create a permanent establishment in your country for tax purposes?</w:t>
      </w:r>
    </w:p>
    <w:p>
      <w:pPr>
        <w:pStyle w:val="Normal"/>
        <w:numPr>
          <w:ilvl w:val="0"/>
          <w:numId w:val="8"/>
        </w:numPr>
        <w:tabs>
          <w:tab w:val="clear" w:pos="720"/>
          <w:tab w:val="left" w:pos="0" w:leader="none"/>
        </w:tabs>
        <w:ind w:hanging="720" w:start="1440" w:end="0"/>
        <w:rPr>
          <w:sz w:val="24"/>
          <w:szCs w:val="24"/>
        </w:rPr>
      </w:pPr>
      <w:r>
        <w:rPr>
          <w:sz w:val="24"/>
          <w:szCs w:val="24"/>
        </w:rPr>
        <w:t>Would a Delivered Ex-Ship sale create a permanent establishment?</w:t>
      </w:r>
    </w:p>
    <w:p>
      <w:pPr>
        <w:pStyle w:val="Heading3"/>
        <w:ind w:hanging="0" w:start="0"/>
        <w:rPr>
          <w:rFonts w:ascii="Times New Roman" w:hAnsi="Times New Roman" w:eastAsia="Times New Roman" w:cs="Times New Roman"/>
          <w:b/>
          <w:bCs/>
        </w:rPr>
      </w:pPr>
      <w:r>
        <w:rPr>
          <w:rFonts w:eastAsia="Times New Roman" w:cs="Times New Roman" w:ascii="Times New Roman" w:hAnsi="Times New Roman"/>
          <w:b/>
          <w:bCs/>
        </w:rPr>
        <w:t>8.         Non-binding Agreements</w:t>
      </w:r>
    </w:p>
    <w:p>
      <w:pPr>
        <w:pStyle w:val="Normal"/>
        <w:rPr>
          <w:rFonts w:ascii="Times New Roman" w:hAnsi="Times New Roman" w:eastAsia="Times New Roman" w:cs="Times New Roman"/>
          <w:b/>
          <w:bCs/>
          <w:sz w:val="24"/>
          <w:szCs w:val="24"/>
        </w:rPr>
      </w:pPr>
      <w:r>
        <w:rPr>
          <w:rFonts w:eastAsia="Times New Roman" w:cs="Times New Roman"/>
          <w:b/>
          <w:bCs/>
          <w:sz w:val="24"/>
          <w:szCs w:val="24"/>
        </w:rPr>
      </w:r>
    </w:p>
    <w:p>
      <w:pPr>
        <w:pStyle w:val="Normal"/>
        <w:numPr>
          <w:ilvl w:val="0"/>
          <w:numId w:val="9"/>
        </w:numPr>
        <w:tabs>
          <w:tab w:val="clear" w:pos="720"/>
          <w:tab w:val="left" w:pos="0" w:leader="none"/>
        </w:tabs>
        <w:ind w:hanging="360" w:start="1440" w:end="0"/>
        <w:rPr>
          <w:sz w:val="24"/>
          <w:szCs w:val="24"/>
        </w:rPr>
      </w:pPr>
      <w:r>
        <w:rPr>
          <w:sz w:val="24"/>
          <w:szCs w:val="24"/>
        </w:rPr>
        <w:t>Are letters of intent and  memorandums of understanding that contain the following type of disclaimer non-binding under your laws or do we need different or additional disclaimers?</w:t>
      </w:r>
    </w:p>
    <w:p>
      <w:pPr>
        <w:pStyle w:val="Normal"/>
        <w:ind w:start="1440" w:end="0"/>
        <w:rPr>
          <w:sz w:val="24"/>
          <w:szCs w:val="24"/>
        </w:rPr>
      </w:pPr>
      <w:r>
        <w:rPr>
          <w:sz w:val="24"/>
          <w:szCs w:val="24"/>
        </w:rPr>
      </w:r>
    </w:p>
    <w:p>
      <w:pPr>
        <w:pStyle w:val="BlockText"/>
        <w:rPr/>
      </w:pPr>
      <w:r>
        <w:rPr/>
        <w:t>“</w:t>
      </w:r>
      <w:r>
        <w:rPr/>
        <w:t>The matters set forth in this letter constitute an expression of our mutual interest only and do not constitute a binding agreement among the parties with respect to the proposed transaction  or otherwise.  Any such binding agreement would only arise as a result of the negotiation, execution, and delivery of a mutually satisfactory, written, definitive agreement as contemplated hereby.  The definitive agreement may contain additional terms and conditions as mutually agreed upon in negotiation.  It is understood that this proposal does not contain all matters upon which agreement must be reached to constitute a binding commitment.  No party hereto may bring any claim or action against any other party hereto as a result of this letter or a failure to agree on or enter into any definitive agreement as contemplated herein, including but not limited to a theory of contract by estoppel.”</w:t>
      </w:r>
    </w:p>
    <w:p>
      <w:pPr>
        <w:pStyle w:val="Heading3"/>
        <w:ind w:hanging="0" w:start="0"/>
        <w:rPr>
          <w:rFonts w:ascii="Times New Roman" w:hAnsi="Times New Roman" w:eastAsia="Times New Roman" w:cs="Times New Roman"/>
          <w:b/>
          <w:bCs/>
        </w:rPr>
      </w:pPr>
      <w:r>
        <w:rPr>
          <w:rFonts w:eastAsia="Times New Roman" w:cs="Times New Roman" w:ascii="Times New Roman" w:hAnsi="Times New Roman"/>
          <w:b/>
          <w:bCs/>
        </w:rPr>
        <w:t>9.          Force Majeure</w:t>
      </w:r>
    </w:p>
    <w:p>
      <w:pPr>
        <w:pStyle w:val="Normal"/>
        <w:rPr>
          <w:rFonts w:ascii="Times New Roman" w:hAnsi="Times New Roman" w:eastAsia="Times New Roman" w:cs="Times New Roman"/>
          <w:b/>
          <w:bCs/>
        </w:rPr>
      </w:pPr>
      <w:r>
        <w:rPr>
          <w:rFonts w:eastAsia="Times New Roman" w:cs="Times New Roman"/>
          <w:b/>
          <w:bCs/>
        </w:rPr>
      </w:r>
    </w:p>
    <w:p>
      <w:pPr>
        <w:pStyle w:val="Normal"/>
        <w:numPr>
          <w:ilvl w:val="0"/>
          <w:numId w:val="10"/>
        </w:numPr>
        <w:tabs>
          <w:tab w:val="clear" w:pos="720"/>
          <w:tab w:val="left" w:pos="0" w:leader="none"/>
        </w:tabs>
        <w:ind w:hanging="720" w:start="1440" w:end="0"/>
        <w:rPr>
          <w:sz w:val="24"/>
          <w:szCs w:val="24"/>
        </w:rPr>
      </w:pPr>
      <w:r>
        <w:rPr>
          <w:sz w:val="24"/>
          <w:szCs w:val="24"/>
        </w:rPr>
        <w:t xml:space="preserve">Are there statutory or other legal rules in your country which expand on or limit the typical type of events beyond the reasonable control of a party that are usually specified in a force majeure clause? </w:t>
      </w:r>
    </w:p>
    <w:p>
      <w:pPr>
        <w:pStyle w:val="Heading3"/>
        <w:ind w:hanging="0" w:start="0"/>
        <w:rPr>
          <w:rFonts w:ascii="Times New Roman" w:hAnsi="Times New Roman" w:eastAsia="Times New Roman" w:cs="Times New Roman"/>
          <w:b/>
          <w:bCs/>
        </w:rPr>
      </w:pPr>
      <w:r>
        <w:rPr>
          <w:rFonts w:eastAsia="Times New Roman" w:cs="Times New Roman" w:ascii="Times New Roman" w:hAnsi="Times New Roman"/>
          <w:b/>
          <w:bCs/>
        </w:rPr>
        <w:t>10.        Laws on Competition or Antitrust</w:t>
      </w:r>
    </w:p>
    <w:p>
      <w:pPr>
        <w:pStyle w:val="Normal"/>
        <w:rPr>
          <w:rFonts w:ascii="Times New Roman" w:hAnsi="Times New Roman" w:eastAsia="Times New Roman" w:cs="Times New Roman"/>
          <w:b/>
          <w:bCs/>
          <w:sz w:val="24"/>
          <w:szCs w:val="24"/>
        </w:rPr>
      </w:pPr>
      <w:r>
        <w:rPr>
          <w:rFonts w:eastAsia="Times New Roman" w:cs="Times New Roman"/>
          <w:b/>
          <w:bCs/>
          <w:sz w:val="24"/>
          <w:szCs w:val="24"/>
        </w:rPr>
      </w:r>
    </w:p>
    <w:p>
      <w:pPr>
        <w:pStyle w:val="Normal"/>
        <w:numPr>
          <w:ilvl w:val="0"/>
          <w:numId w:val="11"/>
        </w:numPr>
        <w:tabs>
          <w:tab w:val="clear" w:pos="720"/>
          <w:tab w:val="left" w:pos="0" w:leader="none"/>
        </w:tabs>
        <w:ind w:hanging="720" w:start="1440" w:end="0"/>
        <w:rPr>
          <w:sz w:val="24"/>
          <w:szCs w:val="24"/>
        </w:rPr>
      </w:pPr>
      <w:r>
        <w:rPr>
          <w:sz w:val="24"/>
          <w:szCs w:val="24"/>
        </w:rPr>
        <w:t>Are there laws or regulations in your country which would control or affect the price at which Liquid Fuels or related products could be sold?</w:t>
      </w:r>
    </w:p>
    <w:p>
      <w:pPr>
        <w:pStyle w:val="Normal"/>
        <w:numPr>
          <w:ilvl w:val="0"/>
          <w:numId w:val="11"/>
        </w:numPr>
        <w:tabs>
          <w:tab w:val="clear" w:pos="720"/>
          <w:tab w:val="left" w:pos="0" w:leader="none"/>
        </w:tabs>
        <w:ind w:hanging="720" w:start="1440" w:end="0"/>
        <w:rPr>
          <w:sz w:val="24"/>
          <w:szCs w:val="24"/>
        </w:rPr>
      </w:pPr>
      <w:r>
        <w:rPr>
          <w:sz w:val="24"/>
          <w:szCs w:val="24"/>
        </w:rPr>
        <w:t>Are there laws or regulations which would prevent or restrict the sale or purchase of Liquid Fuels or related products by a non-resident company?</w:t>
      </w:r>
    </w:p>
    <w:p>
      <w:pPr>
        <w:pStyle w:val="Heading3"/>
        <w:ind w:hanging="0" w:start="0"/>
        <w:rPr>
          <w:rFonts w:ascii="Times New Roman" w:hAnsi="Times New Roman" w:eastAsia="Times New Roman" w:cs="Times New Roman"/>
          <w:b/>
          <w:bCs/>
        </w:rPr>
      </w:pPr>
      <w:r>
        <w:rPr>
          <w:rFonts w:eastAsia="Times New Roman" w:cs="Times New Roman" w:ascii="Times New Roman" w:hAnsi="Times New Roman"/>
          <w:b/>
          <w:bCs/>
        </w:rPr>
        <w:t>11.        Customs/Duties</w:t>
      </w:r>
    </w:p>
    <w:p>
      <w:pPr>
        <w:pStyle w:val="Normal"/>
        <w:rPr>
          <w:rFonts w:ascii="Times New Roman" w:hAnsi="Times New Roman" w:eastAsia="Times New Roman" w:cs="Times New Roman"/>
          <w:b/>
          <w:bCs/>
          <w:sz w:val="24"/>
          <w:szCs w:val="24"/>
        </w:rPr>
      </w:pPr>
      <w:r>
        <w:rPr>
          <w:rFonts w:eastAsia="Times New Roman" w:cs="Times New Roman"/>
          <w:b/>
          <w:bCs/>
          <w:sz w:val="24"/>
          <w:szCs w:val="24"/>
        </w:rPr>
      </w:r>
    </w:p>
    <w:p>
      <w:pPr>
        <w:pStyle w:val="Normal"/>
        <w:numPr>
          <w:ilvl w:val="0"/>
          <w:numId w:val="12"/>
        </w:numPr>
        <w:tabs>
          <w:tab w:val="clear" w:pos="720"/>
          <w:tab w:val="left" w:pos="0" w:leader="none"/>
        </w:tabs>
        <w:ind w:hanging="720" w:start="1440" w:end="0"/>
        <w:rPr>
          <w:sz w:val="24"/>
          <w:szCs w:val="24"/>
        </w:rPr>
      </w:pPr>
      <w:r>
        <w:rPr>
          <w:sz w:val="24"/>
          <w:szCs w:val="24"/>
        </w:rPr>
        <w:t>What port fees, customs fees and duties are applied to the importation of Liquid Fuels?</w:t>
      </w:r>
    </w:p>
    <w:p>
      <w:pPr>
        <w:pStyle w:val="Normal"/>
        <w:numPr>
          <w:ilvl w:val="0"/>
          <w:numId w:val="12"/>
        </w:numPr>
        <w:tabs>
          <w:tab w:val="clear" w:pos="720"/>
          <w:tab w:val="left" w:pos="0" w:leader="none"/>
        </w:tabs>
        <w:ind w:hanging="720" w:start="1440" w:end="0"/>
        <w:rPr>
          <w:sz w:val="24"/>
          <w:szCs w:val="24"/>
        </w:rPr>
      </w:pPr>
      <w:r>
        <w:rPr>
          <w:sz w:val="24"/>
          <w:szCs w:val="24"/>
        </w:rPr>
        <w:t>May items that have been imported be sold?  If items are sold, does duty become payable?</w:t>
      </w:r>
    </w:p>
    <w:p>
      <w:pPr>
        <w:pStyle w:val="Normal"/>
        <w:numPr>
          <w:ilvl w:val="0"/>
          <w:numId w:val="12"/>
        </w:numPr>
        <w:tabs>
          <w:tab w:val="clear" w:pos="720"/>
          <w:tab w:val="left" w:pos="0" w:leader="none"/>
        </w:tabs>
        <w:ind w:hanging="720" w:start="1440" w:end="0"/>
        <w:rPr>
          <w:sz w:val="24"/>
          <w:szCs w:val="24"/>
        </w:rPr>
      </w:pPr>
      <w:r>
        <w:rPr>
          <w:sz w:val="24"/>
          <w:szCs w:val="24"/>
        </w:rPr>
        <w:t>May items that have been imported be exported?  If so, may items that have been imported be exempted from levies upon export?</w:t>
      </w:r>
    </w:p>
    <w:p>
      <w:pPr>
        <w:pStyle w:val="Normal"/>
        <w:numPr>
          <w:ilvl w:val="0"/>
          <w:numId w:val="12"/>
        </w:numPr>
        <w:tabs>
          <w:tab w:val="clear" w:pos="720"/>
          <w:tab w:val="left" w:pos="0" w:leader="none"/>
        </w:tabs>
        <w:ind w:hanging="720" w:start="1440" w:end="0"/>
        <w:rPr>
          <w:sz w:val="24"/>
          <w:szCs w:val="24"/>
        </w:rPr>
      </w:pPr>
      <w:r>
        <w:rPr>
          <w:sz w:val="24"/>
          <w:szCs w:val="24"/>
        </w:rPr>
        <w:t>Do you have a system of bonded storage or customs deposit (also referred to as a “free trade zone” arrangement) whereby a seller could temporarily store products in your country for later export and not incur any duties in your country?</w:t>
      </w:r>
    </w:p>
    <w:p>
      <w:pPr>
        <w:pStyle w:val="Heading3"/>
        <w:ind w:hanging="0" w:start="0"/>
        <w:rPr>
          <w:rFonts w:ascii="Times New Roman" w:hAnsi="Times New Roman" w:eastAsia="Times New Roman" w:cs="Times New Roman"/>
          <w:b/>
          <w:bCs/>
        </w:rPr>
      </w:pPr>
      <w:r>
        <w:rPr>
          <w:rFonts w:eastAsia="Times New Roman" w:cs="Times New Roman" w:ascii="Times New Roman" w:hAnsi="Times New Roman"/>
          <w:b/>
          <w:bCs/>
        </w:rPr>
        <w:t>12.        Exchange Controls</w:t>
      </w:r>
    </w:p>
    <w:p>
      <w:pPr>
        <w:pStyle w:val="Normal"/>
        <w:rPr>
          <w:rFonts w:ascii="Times New Roman" w:hAnsi="Times New Roman" w:eastAsia="Times New Roman" w:cs="Times New Roman"/>
          <w:b/>
          <w:bCs/>
        </w:rPr>
      </w:pPr>
      <w:r>
        <w:rPr>
          <w:rFonts w:eastAsia="Times New Roman" w:cs="Times New Roman"/>
          <w:b/>
          <w:bCs/>
        </w:rPr>
      </w:r>
    </w:p>
    <w:p>
      <w:pPr>
        <w:pStyle w:val="Normal"/>
        <w:numPr>
          <w:ilvl w:val="0"/>
          <w:numId w:val="13"/>
        </w:numPr>
        <w:tabs>
          <w:tab w:val="clear" w:pos="720"/>
          <w:tab w:val="left" w:pos="0" w:leader="none"/>
        </w:tabs>
        <w:ind w:hanging="360" w:start="1440" w:end="0"/>
        <w:rPr>
          <w:sz w:val="24"/>
          <w:szCs w:val="24"/>
        </w:rPr>
      </w:pPr>
      <w:r>
        <w:rPr>
          <w:sz w:val="24"/>
          <w:szCs w:val="24"/>
        </w:rPr>
        <w:t>Are there any regulations or laws which would prevent or restrict a company domiciled in your country from paying for imported  products in U.S. dollars?</w:t>
      </w:r>
    </w:p>
    <w:p>
      <w:pPr>
        <w:pStyle w:val="Normal"/>
        <w:ind w:start="720" w:end="0"/>
        <w:rPr>
          <w:sz w:val="24"/>
          <w:szCs w:val="24"/>
        </w:rPr>
      </w:pPr>
      <w:r>
        <w:rPr>
          <w:sz w:val="24"/>
          <w:szCs w:val="24"/>
        </w:rPr>
      </w:r>
    </w:p>
    <w:p>
      <w:pPr>
        <w:pStyle w:val="Heading3"/>
        <w:ind w:hanging="0" w:start="0"/>
        <w:rPr>
          <w:rFonts w:ascii="Times New Roman" w:hAnsi="Times New Roman" w:eastAsia="Times New Roman" w:cs="Times New Roman"/>
        </w:rPr>
      </w:pPr>
      <w:r>
        <w:rPr>
          <w:rFonts w:eastAsia="Times New Roman" w:cs="Times New Roman" w:ascii="Times New Roman" w:hAnsi="Times New Roman"/>
        </w:rPr>
        <w:t>I look forward to hearing from you and discussing the issues set our above.</w:t>
      </w:r>
    </w:p>
    <w:p>
      <w:pPr>
        <w:pStyle w:val="Normal"/>
        <w:rPr>
          <w:rFonts w:ascii="Times New Roman" w:hAnsi="Times New Roman" w:eastAsia="Times New Roman" w:cs="Times New Roman"/>
          <w:sz w:val="24"/>
          <w:szCs w:val="24"/>
        </w:rPr>
      </w:pPr>
      <w:r>
        <w:rPr>
          <w:rFonts w:eastAsia="Times New Roman" w:cs="Times New Roman"/>
          <w:sz w:val="24"/>
          <w:szCs w:val="24"/>
        </w:rPr>
      </w:r>
    </w:p>
    <w:p>
      <w:pPr>
        <w:pStyle w:val="Normal"/>
        <w:rPr>
          <w:sz w:val="24"/>
          <w:szCs w:val="24"/>
        </w:rPr>
      </w:pPr>
      <w:r>
        <w:rPr>
          <w:sz w:val="24"/>
          <w:szCs w:val="24"/>
        </w:rPr>
        <w:t>Very truly yours,</w:t>
      </w:r>
    </w:p>
    <w:p>
      <w:pPr>
        <w:pStyle w:val="Normal"/>
        <w:rPr>
          <w:sz w:val="24"/>
          <w:szCs w:val="24"/>
        </w:rPr>
      </w:pPr>
      <w:r>
        <w:rPr>
          <w:sz w:val="24"/>
          <w:szCs w:val="24"/>
        </w:rPr>
      </w:r>
    </w:p>
    <w:p>
      <w:pPr>
        <w:pStyle w:val="Normal"/>
        <w:rPr>
          <w:sz w:val="24"/>
          <w:szCs w:val="24"/>
        </w:rPr>
      </w:pPr>
      <w:r>
        <w:rPr>
          <w:sz w:val="24"/>
          <w:szCs w:val="24"/>
        </w:rPr>
      </w:r>
    </w:p>
    <w:p>
      <w:pPr>
        <w:pStyle w:val="Footer"/>
        <w:rPr>
          <w:color w:val="0000FF"/>
          <w:sz w:val="24"/>
          <w:szCs w:val="24"/>
        </w:rPr>
      </w:pPr>
      <w:r>
        <w:rPr>
          <w:color w:val="0000FF"/>
          <w:sz w:val="24"/>
          <w:szCs w:val="24"/>
        </w:rPr>
        <w:t>[insert name of attorney]</w:t>
      </w:r>
    </w:p>
    <w:p>
      <w:pPr>
        <w:pStyle w:val="Footer"/>
        <w:rPr>
          <w:color w:val="0000FF"/>
          <w:sz w:val="24"/>
          <w:szCs w:val="24"/>
        </w:rPr>
      </w:pPr>
      <w:r>
        <w:rPr>
          <w:color w:val="0000FF"/>
          <w:sz w:val="24"/>
          <w:szCs w:val="24"/>
        </w:rPr>
        <w:t>[title]</w:t>
      </w:r>
    </w:p>
    <w:p>
      <w:pPr>
        <w:pStyle w:val="Footer"/>
        <w:rPr>
          <w:color w:val="0000FF"/>
          <w:sz w:val="24"/>
          <w:szCs w:val="24"/>
        </w:rPr>
      </w:pPr>
      <w:r>
        <w:rPr>
          <w:color w:val="0000FF"/>
          <w:sz w:val="24"/>
          <w:szCs w:val="24"/>
        </w:rPr>
      </w:r>
    </w:p>
    <w:p>
      <w:pPr>
        <w:pStyle w:val="Footer"/>
        <w:rPr>
          <w:color w:val="0000FF"/>
          <w:sz w:val="24"/>
          <w:szCs w:val="24"/>
        </w:rPr>
      </w:pPr>
      <w:r>
        <w:rPr>
          <w:color w:val="0000FF"/>
          <w:sz w:val="24"/>
          <w:szCs w:val="24"/>
        </w:rPr>
        <w:t>Enclosures (if any)</w:t>
      </w:r>
    </w:p>
    <w:p>
      <w:pPr>
        <w:pStyle w:val="Footer"/>
        <w:rPr>
          <w:color w:val="0000FF"/>
          <w:sz w:val="24"/>
          <w:szCs w:val="24"/>
        </w:rPr>
      </w:pPr>
      <w:r>
        <w:rPr>
          <w:color w:val="0000FF"/>
          <w:sz w:val="24"/>
          <w:szCs w:val="24"/>
        </w:rPr>
      </w:r>
    </w:p>
    <w:sectPr>
      <w:headerReference w:type="default" r:id="rId2"/>
      <w:headerReference w:type="first" r:id="rId3"/>
      <w:footerReference w:type="default" r:id="rId4"/>
      <w:footerReference w:type="first" r:id="rId5"/>
      <w:type w:val="nextPage"/>
      <w:pgSz w:w="12240" w:h="15840"/>
      <w:pgMar w:left="1800" w:right="1800" w:gutter="0" w:header="720" w:top="216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Helvetica">
    <w:altName w:val="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/mnt/main-storage/datasets/enron-docs/doc/Memo_Request__shortfrm_.doc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t>Dr. Juan Carlos Bustamañte</w:t>
    </w:r>
  </w:p>
  <w:p>
    <w:pPr>
      <w:pStyle w:val="Header"/>
      <w:rPr>
        <w:sz w:val="24"/>
        <w:szCs w:val="24"/>
      </w:rPr>
    </w:pPr>
    <w:r>
      <w:rPr>
        <w:sz w:val="24"/>
        <w:szCs w:val="24"/>
      </w:rPr>
      <w:t>November 24, 1997</w:t>
    </w:r>
  </w:p>
  <w:p>
    <w:pPr>
      <w:pStyle w:val="Header"/>
      <w:rPr/>
    </w:pPr>
    <w:r>
      <w:rPr>
        <w:sz w:val="24"/>
        <w:szCs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rPr>
    </w:pPr>
    <w:r>
      <w:rPr>
        <w:i/>
        <w:iCs/>
      </w:rPr>
      <w:t>[This short letter format has also been used to request legal advise from local counsel regarding specific issues in connection with physical trading of Liquid Fuels]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Helvetica" w:hAnsi="Helvetica" w:eastAsia="Helvetica" w:cs="Helvetica"/>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Helvetica" w:hAnsi="Helvetica" w:eastAsia="Helvetica" w:cs="Helvetica"/>
      <w:b/>
      <w:bCs/>
      <w:i/>
      <w:iCs/>
      <w:sz w:val="24"/>
      <w:szCs w:val="24"/>
    </w:rPr>
  </w:style>
  <w:style w:type="paragraph" w:styleId="Heading3">
    <w:name w:val="heading 3"/>
    <w:basedOn w:val="Normal"/>
    <w:next w:val="Normal"/>
    <w:qFormat/>
    <w:pPr>
      <w:keepNext w:val="true"/>
      <w:numPr>
        <w:ilvl w:val="2"/>
        <w:numId w:val="1"/>
      </w:numPr>
      <w:spacing w:before="240" w:after="60"/>
      <w:outlineLvl w:val="2"/>
    </w:pPr>
    <w:rPr>
      <w:rFonts w:ascii="Helvetica" w:hAnsi="Helvetica" w:eastAsia="Helvetica" w:cs="Helvetica"/>
      <w:sz w:val="24"/>
      <w:szCs w:val="24"/>
    </w:rPr>
  </w:style>
  <w:style w:type="paragraph" w:styleId="Heading4">
    <w:name w:val="heading 4"/>
    <w:basedOn w:val="Normal"/>
    <w:next w:val="Normal"/>
    <w:qFormat/>
    <w:pPr>
      <w:keepNext w:val="true"/>
      <w:numPr>
        <w:ilvl w:val="3"/>
        <w:numId w:val="1"/>
      </w:numPr>
      <w:spacing w:before="120" w:after="0"/>
      <w:jc w:val="center"/>
      <w:outlineLvl w:val="3"/>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1440" w:end="630"/>
      <w:jc w:val="both"/>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2001-04-19T20:46:00Z</dcterms:created>
  <dc:creator>Unknown</dc:creator>
  <dc:description/>
  <dc:language>en-CA</dc:language>
  <cp:lastModifiedBy>nflores</cp:lastModifiedBy>
  <cp:lastPrinted>1997-11-24T13:53:00Z</cp:lastPrinted>
  <dcterms:modified xsi:type="dcterms:W3CDTF">2001-04-19T21:05:00Z</dcterms:modified>
  <cp:revision>5</cp:revision>
  <dc:subject/>
  <dc:title>Enron Capital &amp; Trade Resources Corp</dc:title>
</cp:coreProperties>
</file>