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152" w:leader="none"/>
        </w:tabs>
        <w:rPr>
          <w:sz w:val="20"/>
          <w:szCs w:val="20"/>
        </w:rPr>
      </w:pPr>
      <w:r>
        <w:rPr>
          <w:sz w:val="20"/>
          <w:szCs w:val="20"/>
        </w:rPr>
      </w:r>
      <w:bookmarkStart w:id="0" w:name="Table"/>
      <w:bookmarkStart w:id="1" w:name="Table"/>
      <w:bookmarkEnd w:id="1"/>
    </w:p>
    <w:p>
      <w:pPr>
        <w:pStyle w:val="Normal"/>
        <w:tabs>
          <w:tab w:val="clear" w:pos="720"/>
          <w:tab w:val="left" w:pos="6667" w:leader="none"/>
          <w:tab w:val="right" w:pos="9360" w:leader="none"/>
        </w:tabs>
        <w:jc w:val="start"/>
        <w:rPr/>
      </w:pPr>
      <w:bookmarkStart w:id="2" w:name="Table"/>
      <w:bookmarkStart w:id="3" w:name="From"/>
      <w:bookmarkStart w:id="4" w:name="Body"/>
      <w:bookmarkEnd w:id="2"/>
      <w:bookmarkEnd w:id="3"/>
      <w:bookmarkEnd w:id="4"/>
      <w:r>
        <w:rPr/>
        <w:t>[Date]</w:t>
      </w:r>
    </w:p>
    <w:p>
      <w:pPr>
        <w:pStyle w:val="Normal"/>
        <w:tabs>
          <w:tab w:val="clear" w:pos="720"/>
          <w:tab w:val="left" w:pos="6667" w:leader="none"/>
          <w:tab w:val="right" w:pos="9360" w:leader="none"/>
        </w:tabs>
        <w:jc w:val="start"/>
        <w:rPr/>
      </w:pPr>
      <w:r>
        <w:rPr/>
      </w:r>
    </w:p>
    <w:p>
      <w:pPr>
        <w:pStyle w:val="Normal"/>
        <w:rPr/>
      </w:pPr>
      <w:r>
        <w:rPr/>
      </w:r>
    </w:p>
    <w:p>
      <w:pPr>
        <w:pStyle w:val="Normal"/>
        <w:rPr/>
      </w:pPr>
      <w:r>
        <w:rPr/>
      </w:r>
    </w:p>
    <w:p>
      <w:pPr>
        <w:pStyle w:val="Normal"/>
        <w:rPr/>
      </w:pPr>
      <w:r>
        <w:rPr/>
        <w:t>[By Facsimilie]</w:t>
      </w:r>
    </w:p>
    <w:p>
      <w:pPr>
        <w:pStyle w:val="Normal"/>
        <w:rPr/>
      </w:pPr>
      <w:r>
        <w:rPr/>
      </w:r>
    </w:p>
    <w:p>
      <w:pPr>
        <w:pStyle w:val="Normal"/>
        <w:rPr/>
      </w:pPr>
      <w:r>
        <w:rPr/>
        <w:t>[Law Firm]</w:t>
      </w:r>
    </w:p>
    <w:p>
      <w:pPr>
        <w:pStyle w:val="Normal"/>
        <w:rPr/>
      </w:pPr>
      <w:r>
        <w:rPr/>
        <w:t>[Address]</w:t>
      </w:r>
    </w:p>
    <w:p>
      <w:pPr>
        <w:pStyle w:val="Normal"/>
        <w:rPr/>
      </w:pPr>
      <w:r>
        <w:rPr/>
        <w:t>[City/Country]</w:t>
      </w:r>
    </w:p>
    <w:p>
      <w:pPr>
        <w:pStyle w:val="Normal"/>
        <w:rPr/>
      </w:pPr>
      <w:r>
        <w:rPr/>
      </w:r>
    </w:p>
    <w:p>
      <w:pPr>
        <w:pStyle w:val="Normal"/>
        <w:rPr/>
      </w:pPr>
      <w:r>
        <w:rPr/>
      </w:r>
    </w:p>
    <w:p>
      <w:pPr>
        <w:pStyle w:val="Normal"/>
        <w:rPr/>
      </w:pPr>
      <w:r>
        <w:rPr/>
        <w:t>Dear _______,</w:t>
      </w:r>
    </w:p>
    <w:p>
      <w:pPr>
        <w:pStyle w:val="Normal"/>
        <w:rPr/>
      </w:pPr>
      <w:r>
        <w:rPr/>
      </w:r>
    </w:p>
    <w:p>
      <w:pPr>
        <w:pStyle w:val="Normal"/>
        <w:jc w:val="center"/>
        <w:rPr>
          <w:b/>
          <w:bCs/>
          <w:u w:val="single"/>
        </w:rPr>
      </w:pPr>
      <w:r>
        <w:rPr>
          <w:b/>
          <w:bCs/>
          <w:u w:val="single"/>
        </w:rPr>
        <w:t>MEMORANDUM TO LOCAL COUNSEL</w:t>
      </w:r>
    </w:p>
    <w:p>
      <w:pPr>
        <w:pStyle w:val="Normal"/>
        <w:jc w:val="center"/>
        <w:rPr/>
      </w:pPr>
      <w:r>
        <w:rPr/>
      </w:r>
    </w:p>
    <w:p>
      <w:pPr>
        <w:pStyle w:val="Normal"/>
        <w:jc w:val="center"/>
        <w:rPr>
          <w:color w:val="0000FF"/>
        </w:rPr>
      </w:pPr>
      <w:r>
        <w:rPr>
          <w:color w:val="0000FF"/>
        </w:rPr>
        <w:t>[insert name of Enron entity requesting the advise]</w:t>
      </w:r>
    </w:p>
    <w:p>
      <w:pPr>
        <w:pStyle w:val="Normal"/>
        <w:jc w:val="center"/>
        <w:rPr/>
      </w:pPr>
      <w:r>
        <w:rPr/>
        <w:t xml:space="preserve">Survey of the Law of </w:t>
      </w:r>
      <w:r>
        <w:rPr>
          <w:color w:val="0000FF"/>
        </w:rPr>
        <w:t>[insert name of the country]</w:t>
      </w:r>
      <w:r>
        <w:rPr>
          <w:b/>
          <w:bCs/>
        </w:rPr>
        <w:t xml:space="preserve"> </w:t>
      </w:r>
      <w:r>
        <w:rPr/>
        <w:t>regarding</w:t>
      </w:r>
    </w:p>
    <w:p>
      <w:pPr>
        <w:pStyle w:val="Normal"/>
        <w:jc w:val="center"/>
        <w:rPr/>
      </w:pPr>
      <w:r>
        <w:rPr/>
        <w:t>Financial and Physical Trading and Energy Services</w:t>
      </w:r>
    </w:p>
    <w:p>
      <w:pPr>
        <w:pStyle w:val="Normal"/>
        <w:rPr/>
      </w:pPr>
      <w:r>
        <w:rPr/>
      </w:r>
    </w:p>
    <w:p>
      <w:pPr>
        <w:pStyle w:val="Index1"/>
        <w:tabs>
          <w:tab w:val="clear" w:pos="9000"/>
        </w:tabs>
        <w:rPr/>
      </w:pPr>
      <w:r>
        <w:rPr/>
      </w:r>
    </w:p>
    <w:p>
      <w:pPr>
        <w:pStyle w:val="Normal"/>
        <w:rPr/>
      </w:pPr>
      <w:r>
        <w:rPr>
          <w:color w:val="0000FF"/>
        </w:rPr>
        <w:t>[As we discussed],</w:t>
      </w:r>
      <w:r>
        <w:rPr/>
        <w:t xml:space="preserve"> Enron Capital &amp; Trade Resources International Corp. (a U.S. corporation organised under the laws of the State of Delaware with its corporate headquarters in Houston, Texas, and branches in Norway, Singapore and Sweden) (“</w:t>
      </w:r>
      <w:r>
        <w:rPr>
          <w:b/>
          <w:bCs/>
        </w:rPr>
        <w:t>ECTRI</w:t>
      </w:r>
      <w:r>
        <w:rPr/>
        <w:t xml:space="preserve">”) will consider entering into “derivatives transactions” with Counterparties located in </w:t>
      </w:r>
      <w:r>
        <w:rPr>
          <w:color w:val="0000FF"/>
        </w:rPr>
        <w:t>[insert name of the country]</w:t>
      </w:r>
      <w:r>
        <w:rPr>
          <w:b/>
          <w:bCs/>
        </w:rPr>
        <w:t xml:space="preserve"> </w:t>
      </w:r>
      <w:r>
        <w:rPr/>
        <w:t>or elsewhere, such as in other Asia-Pacific countries (each, a "Counterparty").  In addition to participating in derivative transactions, as part of ECTRI's strategic objectives for the Asia-Pacific region, it desires to trade liquid fuels (e.g., natural gas liquids, liquid petroleum gas, residual fuel oil, diesel oil, naphtha, condensate, and/or other petroleum-based fuels or petrochemicals) (hereinafter referred to as “Liquid Fuels”), which may or may not have their origin in the region, with companies in the region, including Counterparties.  ECTRI may also desire to participate in any electrical power or natural gas marketing business opportunities available to privately-owned companies in your country.  The electrical power or natural gas marketing business, together with the marketing of Liquid Fuels, will be hereinafter referred to as "Physical Energy Services" transactions.  You should be advised that other Enron Corp. affiliates are currently involved in financial and physical trading in the U.S., Canada, Singapore, U.K., Norway and Sweden.  The existence of these companies may impact your responses and raise ancillary issues.  As a result, the questions presented here are preliminary in nature.  Please provide us with an estimate of your fees and charges and basis therefore that would be incurred in providing us with a memorandum responding to the questions set forth below.</w:t>
      </w:r>
    </w:p>
    <w:p>
      <w:pPr>
        <w:pStyle w:val="Normal"/>
        <w:rPr/>
      </w:pPr>
      <w:r>
        <w:rPr/>
      </w:r>
    </w:p>
    <w:p>
      <w:pPr>
        <w:pStyle w:val="Normal"/>
        <w:rPr/>
      </w:pPr>
      <w:r>
        <w:rPr/>
        <w:t xml:space="preserve">Please review the questions below without reference to any specific entities.  The term “derivatives transactions” as used here means futures, options, swaps, caps, collars, floors and other financially-settled transactions to hedge or manage energy commodity price (natural gas, crude oil, natural gas liquids, etc.), interest rate and currency risks, both on and off a trading exchange.  A glossary of “derivatives transactions” terms is attached as an Appendix hereto.  All of the derivatives transactions may be settled financially in U.S. Dollars.  You will note that all derivatives transactions between ECTRI and a Counterparty would be entered into pursuant to an International Swaps and Derivatives Association (“ISDA”) Master Agreement. </w:t>
      </w:r>
    </w:p>
    <w:p>
      <w:pPr>
        <w:pStyle w:val="Normal"/>
        <w:rPr/>
      </w:pPr>
      <w:r>
        <w:rPr/>
      </w:r>
    </w:p>
    <w:p>
      <w:pPr>
        <w:pStyle w:val="Normal"/>
        <w:rPr/>
      </w:pPr>
      <w:r>
        <w:rPr/>
        <w:t>Enclosed is a copy of the 1992 International Swaps and Derivatives Association Master Agreement (Multicurrency and Cross-Border) (the “ISDA Master”) setting out the general terms and provisions to be applied to all derivatives transactions.  Any capitalised terms or section references which are not defined or otherwise described in this memorandum shall have the same meaning given to them in the ISDA Master.  Also enclosed is ECTRI’s standard Schedule which “fills in the blanks” and customises the first 18 pages to the needs of ECTRI and its customer and the standard form ECTRI Collateral Annex.  The specific economic terms of any particular derivative transaction would be documented in a separate confirmation in either the ISDA standard form or in the form of the enclosed ECTRI Omnibus confirmation.  Together, these documents are referred to below as the “ECTRI Agreement”.</w:t>
      </w:r>
    </w:p>
    <w:p>
      <w:pPr>
        <w:pStyle w:val="Normal"/>
        <w:keepLines/>
        <w:rPr/>
      </w:pPr>
      <w:r>
        <w:rPr/>
      </w:r>
    </w:p>
    <w:p>
      <w:pPr>
        <w:pStyle w:val="Normal"/>
        <w:keepLines/>
        <w:rPr/>
      </w:pPr>
      <w:r>
        <w:rPr/>
        <w:t>The relevant background facts are as follows:</w:t>
      </w:r>
    </w:p>
    <w:p>
      <w:pPr>
        <w:pStyle w:val="Normal"/>
        <w:keepLines/>
        <w:rPr/>
      </w:pPr>
      <w:r>
        <w:rPr/>
      </w:r>
    </w:p>
    <w:p>
      <w:pPr>
        <w:pStyle w:val="Normal"/>
        <w:keepLines/>
        <w:numPr>
          <w:ilvl w:val="0"/>
          <w:numId w:val="3"/>
        </w:numPr>
        <w:tabs>
          <w:tab w:val="clear" w:pos="720"/>
          <w:tab w:val="left" w:pos="0" w:leader="none"/>
        </w:tabs>
        <w:ind w:hanging="720" w:start="720" w:end="0"/>
        <w:rPr/>
      </w:pPr>
      <w:r>
        <w:rPr>
          <w:b/>
          <w:bCs/>
        </w:rPr>
        <w:t>Enron Corp.</w:t>
      </w:r>
      <w:r>
        <w:rPr/>
        <w:t xml:space="preserve"> (“Enron”) is a corporation organised under the laws of the State of Delaware, U.S.A., with its corporate headquarters in Houston, Texas.  Through ECTRI, which is also incorporated in the State of Delaware, it conducts a global derivatives and Liquid Fuels marketing and trading business.</w:t>
      </w:r>
    </w:p>
    <w:p>
      <w:pPr>
        <w:pStyle w:val="Normal"/>
        <w:keepLines/>
        <w:numPr>
          <w:ilvl w:val="0"/>
          <w:numId w:val="0"/>
        </w:numPr>
        <w:ind w:hanging="0" w:start="360" w:end="0"/>
        <w:rPr/>
      </w:pPr>
      <w:r>
        <w:rPr/>
      </w:r>
    </w:p>
    <w:p>
      <w:pPr>
        <w:pStyle w:val="Normal"/>
        <w:numPr>
          <w:ilvl w:val="0"/>
          <w:numId w:val="3"/>
        </w:numPr>
        <w:tabs>
          <w:tab w:val="clear" w:pos="720"/>
          <w:tab w:val="left" w:pos="0" w:leader="none"/>
        </w:tabs>
        <w:ind w:hanging="720" w:start="720" w:end="0"/>
        <w:rPr/>
      </w:pPr>
      <w:r>
        <w:rPr/>
        <w:t xml:space="preserve">ECTRI, a wholly owned subsidiary of Enron Corp., will enter into derivatives transactions and Liquid Fuels trades with Counterparties organised in and/or doing business in </w:t>
      </w:r>
      <w:r>
        <w:rPr>
          <w:color w:val="0000FF"/>
        </w:rPr>
        <w:t>[insert name of the country]</w:t>
      </w:r>
      <w:r>
        <w:rPr/>
        <w:t>.</w:t>
      </w:r>
    </w:p>
    <w:p>
      <w:pPr>
        <w:pStyle w:val="Normal"/>
        <w:numPr>
          <w:ilvl w:val="0"/>
          <w:numId w:val="0"/>
        </w:numPr>
        <w:ind w:hanging="0" w:start="360" w:end="0"/>
        <w:rPr/>
      </w:pPr>
      <w:r>
        <w:rPr/>
      </w:r>
    </w:p>
    <w:p>
      <w:pPr>
        <w:pStyle w:val="Normal"/>
        <w:numPr>
          <w:ilvl w:val="0"/>
          <w:numId w:val="3"/>
        </w:numPr>
        <w:tabs>
          <w:tab w:val="clear" w:pos="720"/>
          <w:tab w:val="left" w:pos="0" w:leader="none"/>
        </w:tabs>
        <w:ind w:hanging="720" w:start="720" w:end="0"/>
        <w:rPr/>
      </w:pPr>
      <w:r>
        <w:rPr/>
        <w:t xml:space="preserve">ECTRI will enter into derivative transactions with Counterparties which are financial organisations, companies engaged in the oil and/or gas business and other business or governmental or quasi-governmental entities.  You may assume that ECTRI would not enter into any derivatives transactions with private individuals in </w:t>
      </w:r>
      <w:r>
        <w:rPr>
          <w:color w:val="0000FF"/>
        </w:rPr>
        <w:t>[insert name of the country]</w:t>
      </w:r>
      <w:r>
        <w:rPr/>
        <w:t>.</w:t>
      </w:r>
    </w:p>
    <w:p>
      <w:pPr>
        <w:pStyle w:val="Normal"/>
        <w:numPr>
          <w:ilvl w:val="0"/>
          <w:numId w:val="0"/>
        </w:numPr>
        <w:ind w:hanging="0" w:start="360" w:end="0"/>
        <w:rPr/>
      </w:pPr>
      <w:r>
        <w:rPr/>
      </w:r>
    </w:p>
    <w:p>
      <w:pPr>
        <w:pStyle w:val="Normal"/>
        <w:numPr>
          <w:ilvl w:val="0"/>
          <w:numId w:val="3"/>
        </w:numPr>
        <w:tabs>
          <w:tab w:val="clear" w:pos="720"/>
          <w:tab w:val="left" w:pos="0" w:leader="none"/>
        </w:tabs>
        <w:ind w:hanging="720" w:start="720" w:end="0"/>
        <w:rPr/>
      </w:pPr>
      <w:r>
        <w:rPr/>
        <w:t>ECTRI would enter into derivative transactions with a Counterparty by entering into the ECTRI Agreement.  Liquid Fuels sales will be separately documented with a set of general terms and conditions supplemented by written confirmations setting out the economic terms for each individual transaction.  In either case, either English law or New York law would be the selected governing law.</w:t>
      </w:r>
    </w:p>
    <w:p>
      <w:pPr>
        <w:pStyle w:val="Normal"/>
        <w:numPr>
          <w:ilvl w:val="0"/>
          <w:numId w:val="0"/>
        </w:numPr>
        <w:ind w:hanging="0" w:start="360" w:end="0"/>
        <w:rPr/>
      </w:pPr>
      <w:r>
        <w:rPr/>
      </w:r>
    </w:p>
    <w:p>
      <w:pPr>
        <w:pStyle w:val="Normal"/>
        <w:numPr>
          <w:ilvl w:val="0"/>
          <w:numId w:val="3"/>
        </w:numPr>
        <w:tabs>
          <w:tab w:val="clear" w:pos="720"/>
          <w:tab w:val="left" w:pos="0" w:leader="none"/>
        </w:tabs>
        <w:ind w:hanging="720" w:start="720" w:end="0"/>
        <w:rPr/>
      </w:pPr>
      <w:r>
        <w:rPr/>
        <w:t xml:space="preserve">Either before or after the ECTRI Agreement is entered into, it is contemplated that one or more individual derivatives transactions would be agreed to between ECTRI and a Counterparty.  This agreement would be entered into by means of a telephone call between the Counterparty and a trader based outside </w:t>
      </w:r>
      <w:r>
        <w:rPr>
          <w:color w:val="0000FF"/>
        </w:rPr>
        <w:t>[insert name of the country]</w:t>
      </w:r>
      <w:r>
        <w:rPr/>
        <w:t>, probably in Houston, London or Singapore.  After an oral agreement has been entered into by telephone, ECTRI will produce and forward a written confirmation from the Counterparty with the request that it be promptly acknowledged and returned to it.  The parties will intend and desire that the agreement be binding from the moment agreed to in the telephone call.  If a derivatives transaction is entered into prior to the parties entering into the ECTRI Agreement, the transaction will either be deemed to be subject to a Master Agreement with no elections in the Schedule except for the relevant choice of law or will be subject to the terms of the ECTRI  Omnibus confirmation.</w:t>
      </w:r>
    </w:p>
    <w:p>
      <w:pPr>
        <w:pStyle w:val="Normal"/>
        <w:numPr>
          <w:ilvl w:val="0"/>
          <w:numId w:val="0"/>
        </w:numPr>
        <w:ind w:hanging="0" w:start="360" w:end="0"/>
        <w:rPr/>
      </w:pPr>
      <w:r>
        <w:rPr/>
      </w:r>
    </w:p>
    <w:p>
      <w:pPr>
        <w:pStyle w:val="Normal"/>
        <w:numPr>
          <w:ilvl w:val="0"/>
          <w:numId w:val="3"/>
        </w:numPr>
        <w:tabs>
          <w:tab w:val="clear" w:pos="720"/>
          <w:tab w:val="left" w:pos="0" w:leader="none"/>
        </w:tabs>
        <w:ind w:hanging="360" w:start="720" w:end="0"/>
        <w:rPr/>
      </w:pPr>
      <w:r>
        <w:rPr/>
        <w:t>The trading of Liquid Fuels would involve the selling and purchasing of such commodities in spot (single trade), short-term (six months or less) or long-term (over six months) transactions with Counterparties.  Such trades could be conducted in a manner similar to that described in (e). Purchases from a Counterparty would most likely be structured on an “FOB” or “CFR” basis at a port located in your country.  Sales of the Liquid Fuels could be made to a privately-owned or government-controlled Counterparty.  Sales to a Counterparty would most likely be structured on a “Delivered Ex-Ship” basis at a port located in your country or on a “FOB” or “CFR” basis from a port located outside your country.  An “FOB” or “CFR” basis means title and risk of loss as to the Liquid Fuels would transfer to ECTRI’s purchaser at a loading port outside your country. "Delivered Ex-Ship"  means that title and risk of loss would transfer to the purchaser at the ship’s flange at the unloading port in your country.  Additionally, ECTRI desires to enter into physically-settled transactions with Counterparties involving Liquid Fuels, which may embed derivatives within the pricing terms and to supply on a long-term basis Liquid Fuels to industrial customers, electrical power plants, and utilities in the Asia-Pacific region, including those in your country.</w:t>
      </w:r>
    </w:p>
    <w:p>
      <w:pPr>
        <w:pStyle w:val="Normal"/>
        <w:ind w:hanging="360" w:start="360" w:end="0"/>
        <w:rPr/>
      </w:pPr>
      <w:r>
        <w:rPr/>
      </w:r>
    </w:p>
    <w:p>
      <w:pPr>
        <w:pStyle w:val="Normal"/>
        <w:rPr/>
      </w:pPr>
      <w:r>
        <w:rPr/>
        <w:t xml:space="preserve">ECTRI has requested your opinion in respect to certain of its activities in </w:t>
      </w:r>
      <w:r>
        <w:rPr>
          <w:color w:val="0000FF"/>
        </w:rPr>
        <w:t>[insert name of the country]</w:t>
      </w:r>
      <w:r>
        <w:rPr/>
        <w:t xml:space="preserve">. A list of the general issues (split into financially-settled transactions and Physical Energy Services transactions) we would like addressed in a written response from your firm is set forth below.  If any of these issues are particularly difficult to answer or will require an extensive amount of research to be done to be adequately addressed, please advise us accordingly and we will consult with ECTRI as to what they wish to be done.  When responding to the questions below please also indicate where relevant whether there is any presently foreseeable change in current </w:t>
      </w:r>
      <w:r>
        <w:rPr>
          <w:color w:val="0000FF"/>
        </w:rPr>
        <w:t>[insert name of the country]</w:t>
      </w:r>
      <w:r>
        <w:rPr>
          <w:b/>
          <w:bCs/>
        </w:rPr>
        <w:t xml:space="preserve"> </w:t>
      </w:r>
      <w:r>
        <w:rPr/>
        <w:t>law which would meaningfully affect a response to any of the inquiries.  Finally, ECTRI recognises that the questions in Section 12 regarding taxation are sometimes more appropriately addressed by accountants rather than lawyers.  If you feel that this is the case, please contact us by phone immediately so ECTRI can engage a firm of accountants to respond to those questions.</w:t>
      </w:r>
    </w:p>
    <w:p>
      <w:pPr>
        <w:pStyle w:val="Normal"/>
        <w:rPr/>
      </w:pPr>
      <w:r>
        <w:rPr/>
      </w:r>
    </w:p>
    <w:p>
      <w:pPr>
        <w:pStyle w:val="Normal"/>
        <w:rPr>
          <w:b/>
          <w:bCs/>
          <w:sz w:val="28"/>
          <w:szCs w:val="28"/>
          <w:u w:val="single"/>
        </w:rPr>
      </w:pPr>
      <w:r>
        <w:rPr>
          <w:b/>
          <w:bCs/>
          <w:sz w:val="28"/>
          <w:szCs w:val="28"/>
          <w:u w:val="single"/>
        </w:rPr>
        <w:t>FINANCIALLY-SETTLED TRANSACTIONS</w:t>
      </w:r>
    </w:p>
    <w:p>
      <w:pPr>
        <w:pStyle w:val="Normal"/>
        <w:rPr/>
      </w:pPr>
      <w:r>
        <w:rPr/>
      </w:r>
    </w:p>
    <w:p>
      <w:pPr>
        <w:pStyle w:val="Heading1"/>
        <w:keepNext w:val="false"/>
        <w:ind w:hanging="0" w:start="0"/>
        <w:rPr/>
      </w:pPr>
      <w:r>
        <w:rPr/>
        <w:t>1.</w:t>
        <w:tab/>
        <w:t>Capacity</w:t>
      </w:r>
    </w:p>
    <w:p>
      <w:pPr>
        <w:pStyle w:val="Normal"/>
        <w:ind w:hanging="720" w:start="720" w:end="0"/>
        <w:rPr/>
      </w:pPr>
      <w:r>
        <w:rPr/>
        <w:t>(a)</w:t>
        <w:tab/>
        <w:t xml:space="preserve">Whether there are any limitations on the capacity (i.e. power) of the following </w:t>
      </w:r>
      <w:r>
        <w:rPr>
          <w:color w:val="0000FF"/>
        </w:rPr>
        <w:t>[insert name of the country]</w:t>
      </w:r>
      <w:r>
        <w:rPr>
          <w:b/>
          <w:bCs/>
        </w:rPr>
        <w:t xml:space="preserve"> </w:t>
      </w:r>
      <w:r>
        <w:rPr/>
        <w:t xml:space="preserve"> entities entering into derivatives transactions that could lead to such contracts becoming void or unenforceable: </w:t>
      </w:r>
    </w:p>
    <w:p>
      <w:pPr>
        <w:pStyle w:val="Normal"/>
        <w:rPr/>
      </w:pPr>
      <w:r>
        <w:rPr/>
      </w:r>
    </w:p>
    <w:p>
      <w:pPr>
        <w:pStyle w:val="Normal"/>
        <w:rPr/>
      </w:pPr>
      <w:r>
        <w:rPr/>
        <w:tab/>
        <w:t xml:space="preserve">(i) </w:t>
        <w:tab/>
        <w:t>trading corporate;</w:t>
      </w:r>
    </w:p>
    <w:p>
      <w:pPr>
        <w:pStyle w:val="Normal"/>
        <w:rPr/>
      </w:pPr>
      <w:r>
        <w:rPr/>
        <w:tab/>
        <w:t xml:space="preserve">(ii) </w:t>
        <w:tab/>
        <w:t xml:space="preserve">banks; </w:t>
      </w:r>
    </w:p>
    <w:p>
      <w:pPr>
        <w:pStyle w:val="Normal"/>
        <w:rPr/>
      </w:pPr>
      <w:r>
        <w:rPr/>
        <w:tab/>
        <w:t xml:space="preserve">(iii) </w:t>
        <w:tab/>
        <w:t xml:space="preserve">insurance companies; </w:t>
      </w:r>
    </w:p>
    <w:p>
      <w:pPr>
        <w:pStyle w:val="Normal"/>
        <w:rPr/>
      </w:pPr>
      <w:r>
        <w:rPr/>
        <w:tab/>
        <w:t xml:space="preserve">(iv) </w:t>
        <w:tab/>
        <w:t xml:space="preserve">government authorities; </w:t>
      </w:r>
    </w:p>
    <w:p>
      <w:pPr>
        <w:pStyle w:val="Normal"/>
        <w:rPr/>
      </w:pPr>
      <w:r>
        <w:rPr/>
        <w:tab/>
        <w:t xml:space="preserve">(v) </w:t>
        <w:tab/>
        <w:t>state-owned entities; and</w:t>
      </w:r>
    </w:p>
    <w:p>
      <w:pPr>
        <w:pStyle w:val="Normal"/>
        <w:rPr/>
      </w:pPr>
      <w:r>
        <w:rPr/>
        <w:tab/>
        <w:t xml:space="preserve">(vi) </w:t>
        <w:tab/>
        <w:t>individuals.</w:t>
      </w:r>
    </w:p>
    <w:p>
      <w:pPr>
        <w:pStyle w:val="Normal"/>
        <w:rPr/>
      </w:pPr>
      <w:r>
        <w:rPr/>
      </w:r>
    </w:p>
    <w:p>
      <w:pPr>
        <w:pStyle w:val="Normal"/>
        <w:ind w:hanging="720" w:start="720" w:end="0"/>
        <w:rPr/>
      </w:pPr>
      <w:r>
        <w:rPr/>
        <w:t>(b)</w:t>
        <w:tab/>
        <w:t xml:space="preserve">We often find that certain Counterparties are only permitted to enter into these transactions for limited purposes (e.g. hedging their exposure to movements in currency rates, interest rates or commodity prices) and so do not have the capacity to enter into these transactions for speculative purposes.  Please could you indicate if this is the case for any of the </w:t>
      </w:r>
      <w:r>
        <w:rPr>
          <w:color w:val="0000FF"/>
        </w:rPr>
        <w:t>[insert name of the country]</w:t>
      </w:r>
      <w:r>
        <w:rPr>
          <w:b/>
          <w:bCs/>
        </w:rPr>
        <w:t xml:space="preserve"> </w:t>
      </w:r>
      <w:r>
        <w:rPr/>
        <w:t xml:space="preserve"> Counterparties above.</w:t>
      </w:r>
    </w:p>
    <w:p>
      <w:pPr>
        <w:pStyle w:val="Normal"/>
        <w:ind w:hanging="720" w:start="720" w:end="0"/>
        <w:rPr/>
      </w:pPr>
      <w:r>
        <w:rPr/>
      </w:r>
    </w:p>
    <w:p>
      <w:pPr>
        <w:pStyle w:val="Normal"/>
        <w:ind w:hanging="720" w:start="720" w:end="0"/>
        <w:rPr/>
      </w:pPr>
      <w:r>
        <w:rPr/>
        <w:t>(c)</w:t>
        <w:tab/>
        <w:t xml:space="preserve">Are there any protections under </w:t>
      </w:r>
      <w:r>
        <w:rPr>
          <w:color w:val="0000FF"/>
        </w:rPr>
        <w:t>[insert name of the country]</w:t>
      </w:r>
      <w:r>
        <w:rPr/>
        <w:t xml:space="preserve"> law for third parties dealing with an </w:t>
      </w:r>
      <w:r>
        <w:rPr>
          <w:color w:val="0000FF"/>
        </w:rPr>
        <w:t>[insert name of the country]</w:t>
      </w:r>
      <w:r>
        <w:rPr>
          <w:b/>
          <w:bCs/>
        </w:rPr>
        <w:t xml:space="preserve"> </w:t>
      </w:r>
      <w:r>
        <w:rPr/>
        <w:t>Counterparty acting outside its capacity?</w:t>
      </w:r>
    </w:p>
    <w:p>
      <w:pPr>
        <w:pStyle w:val="Normal"/>
        <w:ind w:hanging="720" w:start="720" w:end="0"/>
        <w:rPr/>
      </w:pPr>
      <w:r>
        <w:rPr/>
      </w:r>
    </w:p>
    <w:p>
      <w:pPr>
        <w:pStyle w:val="Normal"/>
        <w:ind w:hanging="720" w:start="720" w:end="0"/>
        <w:rPr/>
      </w:pPr>
      <w:r>
        <w:rPr/>
      </w:r>
    </w:p>
    <w:p>
      <w:pPr>
        <w:pStyle w:val="Normal"/>
        <w:ind w:hanging="720" w:start="720" w:end="0"/>
        <w:rPr/>
      </w:pPr>
      <w:r>
        <w:rPr/>
      </w:r>
    </w:p>
    <w:p>
      <w:pPr>
        <w:pStyle w:val="Normal"/>
        <w:ind w:hanging="720" w:start="720" w:end="0"/>
        <w:rPr/>
      </w:pPr>
      <w:r>
        <w:rPr/>
      </w:r>
    </w:p>
    <w:p>
      <w:pPr>
        <w:pStyle w:val="Normal"/>
        <w:ind w:hanging="720" w:start="720" w:end="0"/>
        <w:rPr/>
      </w:pPr>
      <w:r>
        <w:rPr/>
      </w:r>
    </w:p>
    <w:p>
      <w:pPr>
        <w:pStyle w:val="Heading1"/>
        <w:keepNext w:val="false"/>
        <w:ind w:hanging="0" w:start="0"/>
        <w:rPr/>
      </w:pPr>
      <w:r>
        <w:rPr/>
        <w:t>2.</w:t>
        <w:tab/>
        <w:t>Authority</w:t>
      </w:r>
    </w:p>
    <w:p>
      <w:pPr>
        <w:pStyle w:val="Normal"/>
        <w:ind w:start="720" w:end="0"/>
        <w:rPr/>
      </w:pPr>
      <w:r>
        <w:rPr/>
        <w:t>Are there any documents that ECTRI should request from the Counterparty in order to check that the signatory on behalf of the Counterparty is duly authorised (e.g. constitutional documents, board resolutions or other authority, copies of public registers etc.)?</w:t>
      </w:r>
    </w:p>
    <w:p>
      <w:pPr>
        <w:pStyle w:val="Normal"/>
        <w:ind w:start="720" w:end="0"/>
        <w:rPr/>
      </w:pPr>
      <w:r>
        <w:rPr/>
      </w:r>
    </w:p>
    <w:p>
      <w:pPr>
        <w:pStyle w:val="Normal"/>
        <w:ind w:start="720" w:end="0"/>
        <w:rPr/>
      </w:pPr>
      <w:r>
        <w:rPr/>
        <w:t>For example, we would normally expect to see a board resolution for a corporate Counterparty but not for a financial institution.</w:t>
      </w:r>
    </w:p>
    <w:p>
      <w:pPr>
        <w:pStyle w:val="Normal"/>
        <w:ind w:start="720" w:end="0"/>
        <w:rPr/>
      </w:pPr>
      <w:r>
        <w:rPr/>
      </w:r>
    </w:p>
    <w:p>
      <w:pPr>
        <w:pStyle w:val="Heading1"/>
        <w:keepNext w:val="false"/>
        <w:ind w:hanging="0" w:start="0"/>
        <w:rPr/>
      </w:pPr>
      <w:r>
        <w:rPr/>
        <w:t>3.</w:t>
        <w:tab/>
        <w:t>Credit Support Facilities</w:t>
      </w:r>
    </w:p>
    <w:p>
      <w:pPr>
        <w:pStyle w:val="Normal"/>
        <w:ind w:start="720" w:end="0"/>
        <w:rPr/>
      </w:pPr>
      <w:r>
        <w:rPr/>
        <w:t xml:space="preserve">In transactions where ECTRI takes a formal charge or pledge, governed by either US or English law, over securities or cash situated outside </w:t>
      </w:r>
      <w:r>
        <w:rPr>
          <w:color w:val="0000FF"/>
        </w:rPr>
        <w:t>[insert name of the country]</w:t>
      </w:r>
      <w:r>
        <w:rPr>
          <w:b/>
          <w:bCs/>
        </w:rPr>
        <w:t xml:space="preserve"> </w:t>
      </w:r>
      <w:r>
        <w:rPr/>
        <w:t xml:space="preserve"> please advise as to whether the charge or pledge is legal, valid and binding as against the liquidator and third party creditors in the event of an </w:t>
      </w:r>
      <w:r>
        <w:rPr>
          <w:color w:val="0000FF"/>
        </w:rPr>
        <w:t>[insert name of the country]</w:t>
      </w:r>
      <w:r>
        <w:rPr>
          <w:b/>
          <w:bCs/>
        </w:rPr>
        <w:t xml:space="preserve"> </w:t>
      </w:r>
      <w:r>
        <w:rPr/>
        <w:t xml:space="preserve"> insolvency and whether there are any procedural or other steps to be taken under </w:t>
      </w:r>
      <w:r>
        <w:rPr>
          <w:color w:val="0000FF"/>
        </w:rPr>
        <w:t>[insert name of the country]</w:t>
      </w:r>
      <w:r>
        <w:rPr>
          <w:b/>
          <w:bCs/>
        </w:rPr>
        <w:t xml:space="preserve"> </w:t>
      </w:r>
      <w:r>
        <w:rPr/>
        <w:t xml:space="preserve"> law to perfect the security.  Are there any limitations on a Counterparty's ability to provide letters of credit or pledge cash or securities as collateral in </w:t>
      </w:r>
      <w:r>
        <w:rPr>
          <w:color w:val="0000FF"/>
        </w:rPr>
        <w:t>[insert name of the country]</w:t>
      </w:r>
      <w:r>
        <w:rPr>
          <w:b/>
          <w:bCs/>
        </w:rPr>
        <w:t xml:space="preserve"> </w:t>
      </w:r>
      <w:r>
        <w:rPr/>
        <w:t xml:space="preserve"> with </w:t>
      </w:r>
      <w:r>
        <w:rPr>
          <w:color w:val="0000FF"/>
        </w:rPr>
        <w:t>[insert name of the country]</w:t>
      </w:r>
      <w:r>
        <w:rPr>
          <w:b/>
          <w:bCs/>
        </w:rPr>
        <w:t xml:space="preserve"> </w:t>
      </w:r>
      <w:r>
        <w:rPr/>
        <w:t xml:space="preserve"> law governing the perfection of such collateral, to secure its obligations under the ISDA Master?  </w:t>
      </w:r>
    </w:p>
    <w:p>
      <w:pPr>
        <w:pStyle w:val="Normal"/>
        <w:ind w:start="720" w:end="0"/>
        <w:rPr/>
      </w:pPr>
      <w:r>
        <w:rPr/>
      </w:r>
    </w:p>
    <w:p>
      <w:pPr>
        <w:pStyle w:val="Heading1"/>
        <w:keepNext w:val="false"/>
        <w:ind w:hanging="0" w:start="0"/>
        <w:rPr/>
      </w:pPr>
      <w:r>
        <w:rPr/>
        <w:t>4.</w:t>
        <w:tab/>
        <w:t>Exchange Control</w:t>
      </w:r>
    </w:p>
    <w:p>
      <w:pPr>
        <w:pStyle w:val="Normal"/>
        <w:ind w:start="720" w:end="0"/>
        <w:rPr/>
      </w:pPr>
      <w:r>
        <w:rPr/>
        <w:t>Are there any central bank, governmental or other legal or regulatory restrictions or consents required relating to either foreign or local currencies that would prevent or restrict derivatives transactions with local Counterparties?</w:t>
      </w:r>
    </w:p>
    <w:p>
      <w:pPr>
        <w:pStyle w:val="Normal"/>
        <w:ind w:start="720" w:end="0"/>
        <w:rPr/>
      </w:pPr>
      <w:r>
        <w:rPr/>
      </w:r>
    </w:p>
    <w:p>
      <w:pPr>
        <w:pStyle w:val="Heading1"/>
        <w:keepNext w:val="false"/>
        <w:ind w:hanging="0" w:start="0"/>
        <w:rPr/>
      </w:pPr>
      <w:r>
        <w:rPr/>
        <w:t>5.</w:t>
        <w:tab/>
        <w:t>Consents or Approvals</w:t>
      </w:r>
    </w:p>
    <w:p>
      <w:pPr>
        <w:pStyle w:val="Normal"/>
        <w:ind w:start="720" w:end="0"/>
        <w:rPr/>
      </w:pPr>
      <w:r>
        <w:rPr/>
        <w:t xml:space="preserve">Are there any local consents or approvals which either ECTRI or the local Counterparty should obtain.  In particular, are there any guidelines as to what constitutes doing business in </w:t>
      </w:r>
      <w:r>
        <w:rPr>
          <w:color w:val="0000FF"/>
        </w:rPr>
        <w:t>[insert name of the country]</w:t>
      </w:r>
      <w:r>
        <w:rPr/>
        <w:t>.  To what extent are the local securities, commodities or futures trading law (if any) applicable to derivatives transactions.</w:t>
      </w:r>
    </w:p>
    <w:p>
      <w:pPr>
        <w:pStyle w:val="Normal"/>
        <w:ind w:start="720" w:end="0"/>
        <w:rPr/>
      </w:pPr>
      <w:r>
        <w:rPr/>
      </w:r>
    </w:p>
    <w:p>
      <w:pPr>
        <w:pStyle w:val="Heading1"/>
        <w:keepNext w:val="false"/>
        <w:ind w:hanging="720" w:start="720" w:end="0"/>
        <w:rPr/>
      </w:pPr>
      <w:r>
        <w:rPr/>
        <w:t>6.</w:t>
        <w:tab/>
        <w:t>Governing Law, Submission to the Jurisdiction of the English/New York Courts and Enforcement of Judgments</w:t>
      </w:r>
    </w:p>
    <w:p>
      <w:pPr>
        <w:pStyle w:val="Normal"/>
        <w:ind w:start="720" w:end="0"/>
        <w:rPr/>
      </w:pPr>
      <w:r>
        <w:rPr/>
        <w:t xml:space="preserve">The contractual documentation will be governed by English or New York law and the </w:t>
      </w:r>
      <w:r>
        <w:rPr>
          <w:color w:val="0000FF"/>
        </w:rPr>
        <w:t>[insert name of the country]</w:t>
      </w:r>
      <w:r>
        <w:rPr>
          <w:b/>
          <w:bCs/>
        </w:rPr>
        <w:t xml:space="preserve"> </w:t>
      </w:r>
      <w:r>
        <w:rPr/>
        <w:t xml:space="preserve">Counterparty will submit to the jurisdiction of the English or New York courts.  Please confirm that an </w:t>
      </w:r>
      <w:r>
        <w:rPr>
          <w:color w:val="0000FF"/>
        </w:rPr>
        <w:t>[insert name of the country]</w:t>
      </w:r>
      <w:r>
        <w:rPr>
          <w:b/>
          <w:bCs/>
        </w:rPr>
        <w:t xml:space="preserve"> </w:t>
      </w:r>
      <w:r>
        <w:rPr/>
        <w:t xml:space="preserve">Counterparty can enter into English or New York law governed contracts and submit to the jurisdiction of the English or New York courts and that any judgment obtained in the English or New York courts will be enforceable in </w:t>
      </w:r>
      <w:r>
        <w:rPr>
          <w:color w:val="0000FF"/>
        </w:rPr>
        <w:t>[insert name of the country]</w:t>
      </w:r>
      <w:r>
        <w:rPr>
          <w:b/>
          <w:bCs/>
        </w:rPr>
        <w:t xml:space="preserve"> </w:t>
      </w:r>
      <w:r>
        <w:rPr/>
        <w:t xml:space="preserve"> without excessive formality.</w:t>
      </w:r>
    </w:p>
    <w:p>
      <w:pPr>
        <w:pStyle w:val="Normal"/>
        <w:ind w:start="720" w:end="0"/>
        <w:rPr/>
      </w:pPr>
      <w:r>
        <w:rPr/>
      </w:r>
    </w:p>
    <w:p>
      <w:pPr>
        <w:pStyle w:val="Heading1"/>
        <w:keepNext w:val="false"/>
        <w:ind w:hanging="0" w:start="0"/>
        <w:rPr/>
      </w:pPr>
      <w:r>
        <w:rPr/>
        <w:t>7.</w:t>
        <w:tab/>
        <w:t>Arbitration</w:t>
      </w:r>
    </w:p>
    <w:p>
      <w:pPr>
        <w:pStyle w:val="Department"/>
        <w:ind w:hanging="720" w:start="720" w:end="0"/>
        <w:jc w:val="both"/>
        <w:rPr/>
      </w:pPr>
      <w:r>
        <w:rPr>
          <w:rFonts w:eastAsia="Times New Roman" w:cs="Times New Roman" w:ascii="Times New Roman" w:hAnsi="Times New Roman"/>
          <w:sz w:val="22"/>
          <w:szCs w:val="22"/>
        </w:rPr>
        <w:t>(a)</w:t>
        <w:tab/>
      </w:r>
      <w:r>
        <w:rPr>
          <w:rFonts w:eastAsia="Times New Roman" w:cs="Times New Roman" w:ascii="Times New Roman" w:hAnsi="Times New Roman"/>
          <w:color w:val="000000"/>
          <w:sz w:val="22"/>
          <w:szCs w:val="22"/>
        </w:rPr>
        <w:t xml:space="preserve">Will </w:t>
      </w:r>
      <w:r>
        <w:rPr>
          <w:color w:val="0000FF"/>
        </w:rPr>
        <w:t>[insert name of the country]</w:t>
      </w:r>
      <w:r>
        <w:rPr>
          <w:b/>
          <w:bCs/>
        </w:rPr>
        <w:t xml:space="preserve"> </w:t>
      </w:r>
      <w:r>
        <w:rPr>
          <w:rFonts w:eastAsia="Times New Roman" w:cs="Times New Roman" w:ascii="Times New Roman" w:hAnsi="Times New Roman"/>
          <w:color w:val="000000"/>
          <w:sz w:val="22"/>
          <w:szCs w:val="22"/>
        </w:rPr>
        <w:t xml:space="preserve">courts enforce contractual arbitration clauses?   Will courts in </w:t>
      </w:r>
      <w:r>
        <w:rPr>
          <w:color w:val="0000FF"/>
        </w:rPr>
        <w:t>[insert name of the country]</w:t>
      </w:r>
      <w:r>
        <w:rPr>
          <w:b/>
          <w:bCs/>
        </w:rPr>
        <w:t xml:space="preserve"> </w:t>
      </w:r>
      <w:r>
        <w:rPr>
          <w:rFonts w:eastAsia="Times New Roman" w:cs="Times New Roman" w:ascii="Times New Roman" w:hAnsi="Times New Roman"/>
          <w:color w:val="000000"/>
          <w:sz w:val="22"/>
          <w:szCs w:val="22"/>
        </w:rPr>
        <w:t xml:space="preserve">stay or enjoin litigation proceedings in deference to pending arbitration proceedings under enforceable arbitration agreements?   Are there any laws in </w:t>
      </w:r>
      <w:r>
        <w:rPr>
          <w:color w:val="0000FF"/>
        </w:rPr>
        <w:t>[insert name of the country]</w:t>
      </w:r>
      <w:r>
        <w:rPr>
          <w:b/>
          <w:bCs/>
        </w:rPr>
        <w:t xml:space="preserve"> </w:t>
      </w:r>
      <w:r>
        <w:rPr>
          <w:rFonts w:eastAsia="Times New Roman" w:cs="Times New Roman" w:ascii="Times New Roman" w:hAnsi="Times New Roman"/>
          <w:color w:val="000000"/>
          <w:sz w:val="22"/>
          <w:szCs w:val="22"/>
        </w:rPr>
        <w:t>that would prevent, create additional requirements for, or place restrictions on, a binding agreement to arbitrate?</w:t>
      </w:r>
    </w:p>
    <w:p>
      <w:pPr>
        <w:pStyle w:val="Department"/>
        <w:ind w:hanging="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Department"/>
        <w:ind w:hanging="720" w:start="720" w:end="0"/>
        <w:jc w:val="both"/>
        <w:rPr/>
      </w:pPr>
      <w:r>
        <w:rPr>
          <w:rFonts w:eastAsia="Times New Roman" w:cs="Times New Roman" w:ascii="Times New Roman" w:hAnsi="Times New Roman"/>
          <w:color w:val="000000"/>
          <w:sz w:val="22"/>
          <w:szCs w:val="22"/>
        </w:rPr>
        <w:t>(b)</w:t>
        <w:tab/>
        <w:t xml:space="preserve">Has </w:t>
      </w:r>
      <w:r>
        <w:rPr>
          <w:color w:val="0000FF"/>
        </w:rPr>
        <w:t>[insert name of the country]</w:t>
      </w:r>
      <w:r>
        <w:rPr>
          <w:b/>
          <w:bCs/>
        </w:rPr>
        <w:t xml:space="preserve"> </w:t>
      </w:r>
      <w:r>
        <w:rPr>
          <w:rFonts w:eastAsia="Times New Roman" w:cs="Times New Roman" w:ascii="Times New Roman" w:hAnsi="Times New Roman"/>
          <w:color w:val="000000"/>
          <w:sz w:val="22"/>
          <w:szCs w:val="22"/>
        </w:rPr>
        <w:t>signed and/or ratified any international convention or agreement regarding the arbitration of disputes, i.e. the U.N. Convention on the Recognition and Enforcement of Foreign Arbitral Awards (New York Convention), or the Convention on the Settlement of Investment Disputes of 1965.</w:t>
      </w:r>
    </w:p>
    <w:p>
      <w:pPr>
        <w:pStyle w:val="Department"/>
        <w:ind w:hanging="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Department"/>
        <w:ind w:hanging="720" w:start="720" w:end="0"/>
        <w:jc w:val="both"/>
        <w:rPr/>
      </w:pPr>
      <w:r>
        <w:rPr>
          <w:rFonts w:eastAsia="Times New Roman" w:cs="Times New Roman" w:ascii="Times New Roman" w:hAnsi="Times New Roman"/>
          <w:color w:val="000000"/>
          <w:sz w:val="22"/>
          <w:szCs w:val="22"/>
        </w:rPr>
        <w:t>(c)</w:t>
        <w:tab/>
      </w:r>
      <w:r>
        <w:rPr>
          <w:rFonts w:eastAsia="Times New Roman" w:cs="Times New Roman" w:ascii="Times New Roman" w:hAnsi="Times New Roman"/>
          <w:b/>
          <w:bCs/>
          <w:color w:val="000000"/>
          <w:sz w:val="22"/>
          <w:szCs w:val="22"/>
        </w:rPr>
        <w:t>ECTRI</w:t>
      </w:r>
      <w:r>
        <w:rPr>
          <w:rFonts w:eastAsia="Times New Roman" w:cs="Times New Roman" w:ascii="Times New Roman" w:hAnsi="Times New Roman"/>
          <w:color w:val="000000"/>
          <w:sz w:val="22"/>
          <w:szCs w:val="22"/>
        </w:rPr>
        <w:t xml:space="preserve"> is considering the designation of Singapore as a central arbitration site for its activities in the Asia Pacific region.  Does the law of </w:t>
      </w:r>
      <w:r>
        <w:rPr>
          <w:color w:val="0000FF"/>
        </w:rPr>
        <w:t>[insert name of the country]</w:t>
      </w:r>
      <w:r>
        <w:rPr>
          <w:b/>
          <w:bCs/>
        </w:rPr>
        <w:t xml:space="preserve"> </w:t>
      </w:r>
      <w:r>
        <w:rPr>
          <w:rFonts w:eastAsia="Times New Roman" w:cs="Times New Roman" w:ascii="Times New Roman" w:hAnsi="Times New Roman"/>
          <w:color w:val="000000"/>
          <w:sz w:val="22"/>
          <w:szCs w:val="22"/>
        </w:rPr>
        <w:t xml:space="preserve">afford reciprocal recognition and enforcement of judgments and arbitral awards entered in Singapore?  </w:t>
      </w:r>
    </w:p>
    <w:p>
      <w:pPr>
        <w:pStyle w:val="Department"/>
        <w:ind w:hanging="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Department"/>
        <w:ind w:hanging="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b/>
          <w:bCs/>
          <w:color w:val="000000"/>
          <w:sz w:val="22"/>
          <w:szCs w:val="22"/>
        </w:rPr>
        <w:t>8.</w:t>
        <w:tab/>
        <w:t>IMMUNITY</w:t>
      </w:r>
    </w:p>
    <w:p>
      <w:pPr>
        <w:pStyle w:val="Department"/>
        <w:ind w:hanging="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Department"/>
        <w:ind w:hanging="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sz w:val="22"/>
          <w:szCs w:val="22"/>
        </w:rPr>
        <w:tab/>
      </w:r>
      <w:r>
        <w:rPr>
          <w:rFonts w:eastAsia="Times New Roman" w:cs="Times New Roman" w:ascii="Times New Roman" w:hAnsi="Times New Roman"/>
          <w:color w:val="000000"/>
          <w:sz w:val="22"/>
          <w:szCs w:val="22"/>
        </w:rPr>
        <w:t>Would any Counterparty (public or private) be granted immunity from suit, process, discovery, attachment of assets or execution of judgments, either in the form of sovereign immunity or otherwise?</w:t>
      </w:r>
      <w:r>
        <w:rPr>
          <w:rFonts w:eastAsia="Times New Roman" w:cs="Times New Roman" w:ascii="Times New Roman" w:hAnsi="Times New Roman"/>
          <w:sz w:val="22"/>
          <w:szCs w:val="22"/>
        </w:rPr>
        <w:t xml:space="preserve">  </w:t>
      </w:r>
    </w:p>
    <w:p>
      <w:pPr>
        <w:pStyle w:val="Department"/>
        <w:ind w:hanging="720" w:start="720" w:end="0"/>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Heading1"/>
        <w:keepNext w:val="false"/>
        <w:ind w:hanging="0" w:start="0"/>
        <w:rPr/>
      </w:pPr>
      <w:r>
        <w:rPr/>
        <w:t>9.</w:t>
        <w:tab/>
        <w:t>Gambling</w:t>
      </w:r>
    </w:p>
    <w:p>
      <w:pPr>
        <w:pStyle w:val="Normal"/>
        <w:ind w:start="720" w:end="0"/>
        <w:rPr/>
      </w:pPr>
      <w:r>
        <w:rPr/>
        <w:t xml:space="preserve">Are there any restrictions on gambling which might prevent or inhibit derivatives transactions in certain circumstances e.g. if an </w:t>
      </w:r>
      <w:r>
        <w:rPr>
          <w:color w:val="0000FF"/>
        </w:rPr>
        <w:t>[insert name of the country]</w:t>
      </w:r>
      <w:r>
        <w:rPr>
          <w:b/>
          <w:bCs/>
        </w:rPr>
        <w:t xml:space="preserve"> </w:t>
      </w:r>
      <w:r>
        <w:rPr/>
        <w:t>Counterparty used a rate protection transaction to speculate on upward or downward movements in interest rates or currency exchange rates.</w:t>
      </w:r>
    </w:p>
    <w:p>
      <w:pPr>
        <w:pStyle w:val="Normal"/>
        <w:ind w:start="720" w:end="0"/>
        <w:rPr/>
      </w:pPr>
      <w:r>
        <w:rPr/>
      </w:r>
    </w:p>
    <w:p>
      <w:pPr>
        <w:pStyle w:val="Heading1"/>
        <w:keepNext w:val="false"/>
        <w:ind w:hanging="0" w:start="0"/>
        <w:rPr/>
      </w:pPr>
      <w:r>
        <w:rPr/>
        <w:t>10.</w:t>
        <w:tab/>
        <w:t>insurance</w:t>
      </w:r>
    </w:p>
    <w:p>
      <w:pPr>
        <w:pStyle w:val="Normal"/>
        <w:ind w:start="720" w:end="0"/>
        <w:rPr/>
      </w:pPr>
      <w:r>
        <w:rPr/>
        <w:t xml:space="preserve">Certain jurisdictions may, although it is unlikely, consider transactions such as caps, collars and floors to be insurance contracts and therefore these derivatives transactions are subject to their insurance regulations.  Could derivatives transactions of this nature be considered to be insurance contracts in </w:t>
      </w:r>
      <w:r>
        <w:rPr>
          <w:color w:val="0000FF"/>
        </w:rPr>
        <w:t>[insert name of the country]</w:t>
      </w:r>
      <w:r>
        <w:rPr>
          <w:b/>
          <w:bCs/>
        </w:rPr>
        <w:t xml:space="preserve"> </w:t>
      </w:r>
      <w:r>
        <w:rPr/>
        <w:t>and/or subject to insurance regulations?</w:t>
      </w:r>
    </w:p>
    <w:p>
      <w:pPr>
        <w:pStyle w:val="Normal"/>
        <w:ind w:start="720" w:end="0"/>
        <w:rPr/>
      </w:pPr>
      <w:r>
        <w:rPr/>
      </w:r>
    </w:p>
    <w:p>
      <w:pPr>
        <w:pStyle w:val="Heading1"/>
        <w:keepNext w:val="false"/>
        <w:ind w:hanging="0" w:start="0"/>
        <w:rPr/>
      </w:pPr>
      <w:r>
        <w:rPr/>
        <w:t>11.</w:t>
        <w:tab/>
        <w:t>restrictions on MARKETING or soliciting counterparties</w:t>
      </w:r>
    </w:p>
    <w:p>
      <w:pPr>
        <w:pStyle w:val="Normal"/>
        <w:ind w:hanging="720" w:start="720" w:end="0"/>
        <w:rPr/>
      </w:pPr>
      <w:r>
        <w:rPr/>
        <w:t>(a)</w:t>
        <w:tab/>
        <w:t xml:space="preserve">Are there any restrictions on doing business in </w:t>
      </w:r>
      <w:r>
        <w:rPr>
          <w:color w:val="0000FF"/>
        </w:rPr>
        <w:t>[insert name of the country]</w:t>
      </w:r>
      <w:r>
        <w:rPr>
          <w:b/>
          <w:bCs/>
        </w:rPr>
        <w:t xml:space="preserve"> </w:t>
      </w:r>
      <w:r>
        <w:rPr/>
        <w:t xml:space="preserve">which would prevent ECTRI from marketing derivatives transactions or Physical Energy Services transactions in </w:t>
      </w:r>
      <w:r>
        <w:rPr>
          <w:color w:val="0000FF"/>
        </w:rPr>
        <w:t>[insert name of the country]</w:t>
      </w:r>
      <w:r>
        <w:rPr>
          <w:b/>
          <w:bCs/>
        </w:rPr>
        <w:t xml:space="preserve"> </w:t>
      </w:r>
      <w:r>
        <w:rPr/>
        <w:t xml:space="preserve">or soliciting Counterparties (including but not limited to high net worth individuals) in </w:t>
      </w:r>
      <w:r>
        <w:rPr>
          <w:color w:val="0000FF"/>
        </w:rPr>
        <w:t>[insert name of the country]</w:t>
      </w:r>
      <w:r>
        <w:rPr/>
        <w:t xml:space="preserve">?  At what point, if any, do the laws of </w:t>
      </w:r>
      <w:r>
        <w:rPr>
          <w:color w:val="0000FF"/>
        </w:rPr>
        <w:t>[insert name of the country]</w:t>
      </w:r>
      <w:r>
        <w:rPr>
          <w:b/>
          <w:bCs/>
        </w:rPr>
        <w:t xml:space="preserve"> </w:t>
      </w:r>
      <w:r>
        <w:rPr/>
        <w:t>require ECTRI to register or establish a local representative office or form a local entity in order to be authorised to market these products?</w:t>
      </w:r>
    </w:p>
    <w:p>
      <w:pPr>
        <w:pStyle w:val="Normal"/>
        <w:ind w:hanging="720" w:start="720" w:end="0"/>
        <w:rPr/>
      </w:pPr>
      <w:r>
        <w:rPr/>
      </w:r>
    </w:p>
    <w:p>
      <w:pPr>
        <w:pStyle w:val="Normal"/>
        <w:ind w:hanging="720" w:start="720" w:end="0"/>
        <w:rPr/>
      </w:pPr>
      <w:r>
        <w:rPr/>
        <w:t>(b)</w:t>
        <w:tab/>
        <w:t xml:space="preserve">Assuming that ECTRI's only activities in </w:t>
      </w:r>
      <w:r>
        <w:rPr>
          <w:color w:val="0000FF"/>
        </w:rPr>
        <w:t>[insert name of the country]</w:t>
      </w:r>
      <w:r>
        <w:rPr>
          <w:b/>
          <w:bCs/>
        </w:rPr>
        <w:t xml:space="preserve"> </w:t>
      </w:r>
      <w:r>
        <w:rPr/>
        <w:t xml:space="preserve">constituted business trips and/or telephone calls from abroad, would this infringe upon any rules or regulations on doing business in </w:t>
      </w:r>
      <w:r>
        <w:rPr>
          <w:color w:val="0000FF"/>
        </w:rPr>
        <w:t>[insert name of the country]</w:t>
      </w:r>
      <w:r>
        <w:rPr/>
        <w:t>?</w:t>
      </w:r>
    </w:p>
    <w:p>
      <w:pPr>
        <w:pStyle w:val="Normal"/>
        <w:ind w:hanging="720" w:start="720" w:end="0"/>
        <w:rPr/>
      </w:pPr>
      <w:r>
        <w:rPr/>
      </w:r>
    </w:p>
    <w:p>
      <w:pPr>
        <w:pStyle w:val="Normal"/>
        <w:ind w:hanging="720" w:start="720" w:end="0"/>
        <w:rPr/>
      </w:pPr>
      <w:r>
        <w:rPr/>
        <w:t>(c)</w:t>
        <w:tab/>
        <w:t xml:space="preserve">Are there any restrictions on the distribution through the use of the mail in </w:t>
      </w:r>
      <w:r>
        <w:rPr>
          <w:color w:val="0000FF"/>
        </w:rPr>
        <w:t>[insert name of the country]</w:t>
      </w:r>
      <w:r>
        <w:rPr>
          <w:b/>
          <w:bCs/>
        </w:rPr>
        <w:t xml:space="preserve"> </w:t>
      </w:r>
      <w:r>
        <w:rPr/>
        <w:t>of marketing materials from abroad in relation to derivatives transactions or Physical Energy Service transactions?</w:t>
      </w:r>
    </w:p>
    <w:p>
      <w:pPr>
        <w:pStyle w:val="Normal"/>
        <w:ind w:hanging="720" w:start="720" w:end="0"/>
        <w:rPr/>
      </w:pPr>
      <w:r>
        <w:rPr/>
      </w:r>
    </w:p>
    <w:p>
      <w:pPr>
        <w:pStyle w:val="Normal"/>
        <w:ind w:hanging="720" w:start="720" w:end="0"/>
        <w:rPr/>
      </w:pPr>
      <w:r>
        <w:rPr/>
        <w:t>(d)</w:t>
        <w:tab/>
        <w:t>Are there any other regulatory restrictions which may be imposed upon a Counterparty with respect to entering into a derivatives transaction either due to the nature of the Counterparty (e.g., bank) or due to the nature of the financial product (e.g., as a “security” or “commodity”)? To the extent there are any restrictions relevant to derivative transactions entered into by the types of entities ECTRI contemplates dealing with, please discuss such limitations.</w:t>
      </w:r>
    </w:p>
    <w:p>
      <w:pPr>
        <w:pStyle w:val="Normal"/>
        <w:ind w:hanging="720" w:start="720" w:end="0"/>
        <w:rPr/>
      </w:pPr>
      <w:r>
        <w:rPr/>
      </w:r>
    </w:p>
    <w:p>
      <w:pPr>
        <w:pStyle w:val="Heading1"/>
        <w:keepNext w:val="false"/>
        <w:ind w:hanging="0" w:start="0"/>
        <w:rPr/>
      </w:pPr>
      <w:r>
        <w:rPr/>
        <w:t>12.</w:t>
        <w:tab/>
        <w:t>Taxation</w:t>
      </w:r>
    </w:p>
    <w:p>
      <w:pPr>
        <w:pStyle w:val="Normal"/>
        <w:ind w:hanging="720" w:start="720" w:end="0"/>
        <w:rPr/>
      </w:pPr>
      <w:r>
        <w:rPr/>
        <w:t>(a)</w:t>
        <w:tab/>
        <w:t xml:space="preserve">Are there any withholding taxes, value-added taxes, stamp or other documentary taxes or other taxes on residents or non-residents which would inhibit entering into or enforcing derivatives transactions or Physical Energy Services transactions with </w:t>
      </w:r>
      <w:r>
        <w:rPr>
          <w:color w:val="0000FF"/>
        </w:rPr>
        <w:t>[insert name of the country]</w:t>
      </w:r>
      <w:r>
        <w:rPr>
          <w:b/>
          <w:bCs/>
        </w:rPr>
        <w:t xml:space="preserve"> </w:t>
      </w:r>
      <w:r>
        <w:rPr/>
        <w:t xml:space="preserve"> Counterparties?  If so, is there a double taxation treaty between </w:t>
      </w:r>
      <w:r>
        <w:rPr>
          <w:color w:val="0000FF"/>
        </w:rPr>
        <w:t>[insert name of the country]</w:t>
      </w:r>
      <w:r>
        <w:rPr>
          <w:b/>
          <w:bCs/>
        </w:rPr>
        <w:t xml:space="preserve"> </w:t>
      </w:r>
      <w:r>
        <w:rPr/>
        <w:t>and the United States, the United Kingdom or Singapore which would remove this risk of taxation from ECTRI?</w:t>
      </w:r>
    </w:p>
    <w:p>
      <w:pPr>
        <w:pStyle w:val="Normal"/>
        <w:ind w:hanging="720" w:start="720" w:end="0"/>
        <w:rPr/>
      </w:pPr>
      <w:r>
        <w:rPr/>
      </w:r>
    </w:p>
    <w:p>
      <w:pPr>
        <w:pStyle w:val="Normal"/>
        <w:ind w:hanging="720" w:start="720" w:end="0"/>
        <w:rPr/>
      </w:pPr>
      <w:r>
        <w:rPr/>
        <w:t>(b)</w:t>
        <w:tab/>
        <w:t xml:space="preserve">Assuming that there are withholding taxes imposed in </w:t>
      </w:r>
      <w:r>
        <w:rPr>
          <w:color w:val="0000FF"/>
        </w:rPr>
        <w:t>[insert name of the country]</w:t>
      </w:r>
      <w:r>
        <w:rPr/>
        <w:t xml:space="preserve">, would a contractual gross-up clause obliging the </w:t>
      </w:r>
      <w:r>
        <w:rPr>
          <w:color w:val="0000FF"/>
        </w:rPr>
        <w:t>[insert name of the country]</w:t>
      </w:r>
      <w:r>
        <w:rPr>
          <w:b/>
          <w:bCs/>
        </w:rPr>
        <w:t xml:space="preserve"> </w:t>
      </w:r>
      <w:r>
        <w:rPr/>
        <w:t xml:space="preserve">entity to pay additional amounts in order that the recipient received the same amount as would have been received in the absence of withholding be effective under </w:t>
      </w:r>
      <w:r>
        <w:rPr>
          <w:color w:val="0000FF"/>
        </w:rPr>
        <w:t>[insert name of the country]</w:t>
      </w:r>
      <w:r>
        <w:rPr>
          <w:b/>
          <w:bCs/>
        </w:rPr>
        <w:t xml:space="preserve"> </w:t>
      </w:r>
      <w:r>
        <w:rPr/>
        <w:t>law.</w:t>
      </w:r>
    </w:p>
    <w:p>
      <w:pPr>
        <w:pStyle w:val="Normal"/>
        <w:ind w:hanging="720" w:start="720" w:end="0"/>
        <w:rPr/>
      </w:pPr>
      <w:r>
        <w:rPr/>
      </w:r>
    </w:p>
    <w:p>
      <w:pPr>
        <w:pStyle w:val="Normal"/>
        <w:ind w:hanging="720" w:start="720" w:end="0"/>
        <w:rPr/>
      </w:pPr>
      <w:r>
        <w:rPr/>
        <w:t>(c)</w:t>
        <w:tab/>
        <w:t xml:space="preserve">Referring to Part 2 of the Schedule to the ECTRI Agreement, what payee tax representations should ECTRI make, if any, to a Counterparty in order to avoid </w:t>
      </w:r>
      <w:r>
        <w:rPr>
          <w:color w:val="0000FF"/>
        </w:rPr>
        <w:t>[insert name of the country]</w:t>
      </w:r>
      <w:r>
        <w:rPr>
          <w:b/>
          <w:bCs/>
        </w:rPr>
        <w:t xml:space="preserve"> </w:t>
      </w:r>
      <w:r>
        <w:rPr/>
        <w:t xml:space="preserve">withholding tax?  For instance, should ECTRI make the Section 2(a) withholding tax representation specifying that it is eligible for the benefits of any double tax treaty referred to in question 12(a) above? Are there any other representations which ECTRI should make which would be required for a Counterparty to ascertain before it could make any payments free of </w:t>
      </w:r>
      <w:r>
        <w:rPr>
          <w:color w:val="0000FF"/>
        </w:rPr>
        <w:t>[insert name of the country]</w:t>
      </w:r>
      <w:r>
        <w:rPr>
          <w:b/>
          <w:bCs/>
        </w:rPr>
        <w:t xml:space="preserve"> </w:t>
      </w:r>
      <w:r>
        <w:rPr/>
        <w:t>withholding tax?</w:t>
      </w:r>
    </w:p>
    <w:p>
      <w:pPr>
        <w:pStyle w:val="Normal"/>
        <w:ind w:hanging="720" w:start="720" w:end="0"/>
        <w:rPr/>
      </w:pPr>
      <w:r>
        <w:rPr/>
      </w:r>
    </w:p>
    <w:p>
      <w:pPr>
        <w:pStyle w:val="Normal"/>
        <w:ind w:hanging="720" w:start="720" w:end="0"/>
        <w:rPr/>
      </w:pPr>
      <w:r>
        <w:rPr/>
        <w:t>(d)</w:t>
        <w:tab/>
        <w:t>Under what circumstances would ECTRI be considered to have a "permanent establishment" in your country for local income tax or other regulatory purposes?  Can a representative office of a foreign company be established, and if so, what activities would it be permitted to do without incurring a taxable presence?</w:t>
      </w:r>
    </w:p>
    <w:p>
      <w:pPr>
        <w:pStyle w:val="Normal"/>
        <w:ind w:hanging="720" w:start="720" w:end="0"/>
        <w:rPr/>
      </w:pPr>
      <w:r>
        <w:rPr/>
      </w:r>
    </w:p>
    <w:p>
      <w:pPr>
        <w:pStyle w:val="Heading1"/>
        <w:keepNext w:val="false"/>
        <w:ind w:hanging="0" w:start="0"/>
        <w:rPr/>
      </w:pPr>
      <w:r>
        <w:rPr/>
        <w:t>13.</w:t>
        <w:tab/>
        <w:t>insolvency</w:t>
      </w:r>
    </w:p>
    <w:p>
      <w:pPr>
        <w:pStyle w:val="Normal"/>
        <w:ind w:hanging="720" w:start="720" w:end="0"/>
        <w:rPr/>
      </w:pPr>
      <w:r>
        <w:rPr/>
        <w:t>(a)</w:t>
        <w:tab/>
        <w:t xml:space="preserve">In an insolvency of an </w:t>
      </w:r>
      <w:r>
        <w:rPr>
          <w:color w:val="0000FF"/>
        </w:rPr>
        <w:t>[insert name of the country]</w:t>
      </w:r>
      <w:r>
        <w:rPr>
          <w:b/>
          <w:bCs/>
        </w:rPr>
        <w:t xml:space="preserve"> </w:t>
      </w:r>
      <w:r>
        <w:rPr/>
        <w:t xml:space="preserve">Counterparty, would ECTRI's claims under the derivatives transactions rank equally with all other unsecured and unsubordinated-subordinated claims of creditors of the </w:t>
      </w:r>
      <w:r>
        <w:rPr>
          <w:color w:val="0000FF"/>
        </w:rPr>
        <w:t>[insert name of the country]</w:t>
      </w:r>
      <w:r>
        <w:rPr>
          <w:b/>
          <w:bCs/>
        </w:rPr>
        <w:t xml:space="preserve"> </w:t>
      </w:r>
      <w:r>
        <w:rPr/>
        <w:t>Counterparty?</w:t>
      </w:r>
    </w:p>
    <w:p>
      <w:pPr>
        <w:pStyle w:val="Normal"/>
        <w:ind w:start="720" w:end="0"/>
        <w:rPr/>
      </w:pPr>
      <w:r>
        <w:rPr/>
      </w:r>
    </w:p>
    <w:p>
      <w:pPr>
        <w:pStyle w:val="Normal"/>
        <w:ind w:hanging="720" w:start="720" w:end="0"/>
        <w:rPr/>
      </w:pPr>
      <w:r>
        <w:rPr/>
        <w:t>(b)</w:t>
        <w:tab/>
        <w:t xml:space="preserve">As you are aware most banks and other trading companies document their derivatives transactions under an ISDA Master.  These Agreements provide for all transactions under the ISDA Master to form a single agreement and also provide for termination of all transactions and calculations of a net termination amount on the occurrence of insolvency and other events of default.  Obviously, these two provisions attempt to limit the ability of an insolvency official to "cherry-pick" (i.e. reject all contracts which are onerous to the insolvent party whilst forcing the Counterparty to perform all contracts which are of benefit to the insolvent party) by (1) providing that all transactions are one agreement and therefore the insolvency official accepts or rescinds the agreement as a whole and (2) allowing the Counterparty to terminate all transactions (either automatically or, depending upon the options selected in the 1992 form, on notice) prior to the insolvency proceedings. </w:t>
      </w:r>
    </w:p>
    <w:p>
      <w:pPr>
        <w:pStyle w:val="Normal"/>
        <w:ind w:start="720" w:end="0"/>
        <w:rPr/>
      </w:pPr>
      <w:r>
        <w:rPr/>
      </w:r>
    </w:p>
    <w:p>
      <w:pPr>
        <w:pStyle w:val="Normal"/>
        <w:ind w:start="720" w:end="0"/>
        <w:rPr/>
      </w:pPr>
      <w:r>
        <w:rPr/>
        <w:t xml:space="preserve">Would these provisions be likely to succeed in an </w:t>
      </w:r>
      <w:r>
        <w:rPr>
          <w:color w:val="0000FF"/>
        </w:rPr>
        <w:t>[insert name of the country]</w:t>
      </w:r>
      <w:r>
        <w:rPr>
          <w:b/>
          <w:bCs/>
        </w:rPr>
        <w:t xml:space="preserve"> </w:t>
      </w:r>
      <w:r>
        <w:rPr/>
        <w:t>insolvency and are the chances of its succeeding enhanced if the parties include the automatic termination provisions in the 1992 form?</w:t>
      </w:r>
    </w:p>
    <w:p>
      <w:pPr>
        <w:pStyle w:val="Normal"/>
        <w:ind w:start="720" w:end="0"/>
        <w:rPr/>
      </w:pPr>
      <w:r>
        <w:rPr/>
      </w:r>
    </w:p>
    <w:p>
      <w:pPr>
        <w:pStyle w:val="Normal"/>
        <w:ind w:hanging="720" w:start="720" w:end="0"/>
        <w:rPr/>
      </w:pPr>
      <w:r>
        <w:rPr/>
        <w:t>(c)</w:t>
        <w:tab/>
        <w:t>Would ECTRI be able to direct that any collateral it had posted with the bankrupt Counterparty be used to satisfy its obligations to the bankrupt Counterparty under the terms of the ECTRI Agreement?  And conversely, if ECTRI were holding collateral and the Counterparty went bankrupt would ECTRI be able to use the collateral to discharge amounts due from the bankrupt Counterparty?</w:t>
      </w:r>
    </w:p>
    <w:p>
      <w:pPr>
        <w:pStyle w:val="Normal"/>
        <w:ind w:start="720" w:end="0"/>
        <w:rPr/>
      </w:pPr>
      <w:r>
        <w:rPr/>
      </w:r>
    </w:p>
    <w:p>
      <w:pPr>
        <w:pStyle w:val="Normal"/>
        <w:rPr>
          <w:b/>
          <w:bCs/>
        </w:rPr>
      </w:pPr>
      <w:r>
        <w:rPr>
          <w:b/>
          <w:bCs/>
        </w:rPr>
        <w:t>14.</w:t>
        <w:tab/>
        <w:t>DEFAULTS, INTEREST PAYMENTS AND OTHER PROVISIONS</w:t>
      </w:r>
    </w:p>
    <w:p>
      <w:pPr>
        <w:pStyle w:val="Normal"/>
        <w:ind w:start="720" w:end="0"/>
        <w:rPr/>
      </w:pPr>
      <w:r>
        <w:rPr/>
      </w:r>
    </w:p>
    <w:p>
      <w:pPr>
        <w:pStyle w:val="Normal"/>
        <w:ind w:hanging="720" w:start="720" w:end="0"/>
        <w:rPr/>
      </w:pPr>
      <w:r>
        <w:rPr/>
        <w:t>(a)</w:t>
        <w:tab/>
        <w:t xml:space="preserve">The ISDA Master provides that a party that defaults in the performance of any payment obligation will be required to pay interest at the specified rate on the overdue amount.  Please advise as to the effectiveness of such a provision under </w:t>
      </w:r>
      <w:r>
        <w:rPr>
          <w:color w:val="0000FF"/>
        </w:rPr>
        <w:t>[insert name of the country]</w:t>
      </w:r>
      <w:r>
        <w:rPr>
          <w:b/>
          <w:bCs/>
        </w:rPr>
        <w:t xml:space="preserve"> </w:t>
      </w:r>
      <w:r>
        <w:rPr/>
        <w:t xml:space="preserve">law.  </w:t>
      </w:r>
    </w:p>
    <w:p>
      <w:pPr>
        <w:pStyle w:val="Normal"/>
        <w:ind w:hanging="720" w:start="720" w:end="0"/>
        <w:rPr/>
      </w:pPr>
      <w:r>
        <w:rPr/>
      </w:r>
    </w:p>
    <w:p>
      <w:pPr>
        <w:pStyle w:val="Normal"/>
        <w:ind w:hanging="720" w:start="720" w:end="0"/>
        <w:rPr/>
      </w:pPr>
      <w:r>
        <w:rPr/>
        <w:t>(b)</w:t>
        <w:tab/>
        <w:t xml:space="preserve">Are there any other provisions in the ISDA Master which would be unenforceable under </w:t>
      </w:r>
      <w:r>
        <w:rPr>
          <w:color w:val="0000FF"/>
        </w:rPr>
        <w:t>[insert name of the country]</w:t>
      </w:r>
      <w:r>
        <w:rPr>
          <w:b/>
          <w:bCs/>
        </w:rPr>
        <w:t xml:space="preserve"> </w:t>
      </w:r>
      <w:r>
        <w:rPr/>
        <w:t>law?</w:t>
      </w:r>
    </w:p>
    <w:p>
      <w:pPr>
        <w:pStyle w:val="Normal"/>
        <w:ind w:start="720" w:end="0"/>
        <w:rPr/>
      </w:pPr>
      <w:r>
        <w:rPr/>
      </w:r>
    </w:p>
    <w:p>
      <w:pPr>
        <w:pStyle w:val="Heading1"/>
        <w:keepNext w:val="false"/>
        <w:ind w:hanging="0" w:start="0"/>
        <w:rPr/>
      </w:pPr>
      <w:r>
        <w:rPr/>
        <w:t>15.</w:t>
        <w:tab/>
        <w:t xml:space="preserve">oral contracts </w:t>
      </w:r>
    </w:p>
    <w:p>
      <w:pPr>
        <w:pStyle w:val="Normal"/>
        <w:ind w:hanging="720" w:start="720" w:end="0"/>
        <w:rPr/>
      </w:pPr>
      <w:r>
        <w:rPr/>
        <w:t>(a)</w:t>
        <w:tab/>
        <w:t xml:space="preserve">It is often the case that, until the ISDA Master is in place or the written confirmation of the given physical or financial transaction has been sent to the Counterparty, the entire agreement between the parties is the oral contract.  Assuming that the oral contract is governed by English or New York law, would the </w:t>
      </w:r>
      <w:r>
        <w:rPr>
          <w:color w:val="0000FF"/>
        </w:rPr>
        <w:t>[insert name of the country]</w:t>
      </w:r>
      <w:r>
        <w:rPr>
          <w:b/>
          <w:bCs/>
        </w:rPr>
        <w:t xml:space="preserve"> </w:t>
      </w:r>
      <w:r>
        <w:rPr/>
        <w:t xml:space="preserve">courts recognise such an oral contract as legal, valid and binding and enforceable as against the </w:t>
      </w:r>
      <w:r>
        <w:rPr>
          <w:color w:val="0000FF"/>
        </w:rPr>
        <w:t>[insert name of the country]</w:t>
      </w:r>
      <w:r>
        <w:rPr>
          <w:b/>
          <w:bCs/>
        </w:rPr>
        <w:t xml:space="preserve"> </w:t>
      </w:r>
      <w:r>
        <w:rPr/>
        <w:t xml:space="preserve">Counterparty and does the fact that it is an oral contract vary any of your answers to the above. </w:t>
      </w:r>
    </w:p>
    <w:p>
      <w:pPr>
        <w:pStyle w:val="Normal"/>
        <w:ind w:hanging="720" w:start="720" w:end="0"/>
        <w:rPr/>
      </w:pPr>
      <w:r>
        <w:rPr/>
      </w:r>
    </w:p>
    <w:p>
      <w:pPr>
        <w:pStyle w:val="Normal"/>
        <w:ind w:hanging="720" w:start="720" w:end="0"/>
        <w:rPr/>
      </w:pPr>
      <w:r>
        <w:rPr/>
        <w:t>(b)</w:t>
        <w:tab/>
        <w:t xml:space="preserve">Has </w:t>
      </w:r>
      <w:r>
        <w:rPr>
          <w:color w:val="0000FF"/>
        </w:rPr>
        <w:t>[insert name of the country]</w:t>
      </w:r>
      <w:r>
        <w:rPr>
          <w:b/>
          <w:bCs/>
        </w:rPr>
        <w:t xml:space="preserve"> </w:t>
      </w:r>
      <w:r>
        <w:rPr/>
        <w:t>given effect to the U.N. Convention on Contracts for the International Sale of Goods (1980)?</w:t>
      </w:r>
    </w:p>
    <w:p>
      <w:pPr>
        <w:pStyle w:val="Normal"/>
        <w:ind w:hanging="720" w:start="720" w:end="0"/>
        <w:rPr>
          <w:b/>
          <w:bCs/>
        </w:rPr>
      </w:pPr>
      <w:r>
        <w:rPr>
          <w:b/>
          <w:bCs/>
        </w:rPr>
      </w:r>
    </w:p>
    <w:p>
      <w:pPr>
        <w:pStyle w:val="Normal"/>
        <w:ind w:hanging="720" w:start="720" w:end="0"/>
        <w:rPr>
          <w:b/>
          <w:bCs/>
        </w:rPr>
      </w:pPr>
      <w:r>
        <w:rPr>
          <w:b/>
          <w:bCs/>
        </w:rPr>
        <w:t>16.</w:t>
        <w:tab/>
        <w:t>LIMITATION OF LIABILITY</w:t>
      </w:r>
    </w:p>
    <w:p>
      <w:pPr>
        <w:pStyle w:val="Normal"/>
        <w:ind w:hanging="720" w:start="1440" w:end="0"/>
        <w:rPr/>
      </w:pPr>
      <w:r>
        <w:rPr/>
      </w:r>
    </w:p>
    <w:p>
      <w:pPr>
        <w:pStyle w:val="Normal"/>
        <w:ind w:hanging="720" w:start="720" w:end="0"/>
        <w:rPr/>
      </w:pPr>
      <w:r>
        <w:rPr/>
        <w:tab/>
        <w:t>Would the limitation of liability provision contained in Part 5(p) of the Schedule to the ECTRI Agreement be enforceable under the laws of</w:t>
      </w:r>
      <w:r>
        <w:rPr>
          <w:color w:val="0000FF"/>
        </w:rPr>
        <w:t xml:space="preserve"> [insert name of the country]</w:t>
      </w:r>
      <w:r>
        <w:rPr/>
        <w:t xml:space="preserve">?  Would a similar provision contained in a contract relating to a Physical Energy Services transaction be enforceable under the laws of </w:t>
      </w:r>
      <w:r>
        <w:rPr>
          <w:color w:val="0000FF"/>
        </w:rPr>
        <w:t>[insert name of the country]</w:t>
      </w:r>
      <w:r>
        <w:rPr/>
        <w:t>?</w:t>
      </w:r>
    </w:p>
    <w:p>
      <w:pPr>
        <w:pStyle w:val="Normal"/>
        <w:ind w:hanging="720" w:start="1440" w:end="0"/>
        <w:rPr/>
      </w:pPr>
      <w:r>
        <w:rPr/>
      </w:r>
    </w:p>
    <w:p>
      <w:pPr>
        <w:pStyle w:val="Normal"/>
        <w:ind w:hanging="720" w:start="720" w:end="0"/>
        <w:rPr/>
      </w:pPr>
      <w:r>
        <w:rPr>
          <w:b/>
          <w:bCs/>
        </w:rPr>
        <w:t>17.</w:t>
      </w:r>
      <w:r>
        <w:rPr/>
        <w:tab/>
      </w:r>
      <w:r>
        <w:rPr>
          <w:b/>
          <w:bCs/>
        </w:rPr>
        <w:t>SETOFF</w:t>
      </w:r>
    </w:p>
    <w:p>
      <w:pPr>
        <w:pStyle w:val="Normal"/>
        <w:ind w:hanging="720" w:start="1440" w:end="0"/>
        <w:rPr>
          <w:b/>
          <w:bCs/>
        </w:rPr>
      </w:pPr>
      <w:r>
        <w:rPr>
          <w:b/>
          <w:bCs/>
        </w:rPr>
      </w:r>
    </w:p>
    <w:p>
      <w:pPr>
        <w:pStyle w:val="Normal"/>
        <w:ind w:start="720" w:end="0"/>
        <w:rPr/>
      </w:pPr>
      <w:r>
        <w:rPr/>
        <w:t xml:space="preserve">Would the set-off provisions contained in Part 5(g) of the Schedule to the ECTRI Agreement be enforceable under the laws of </w:t>
      </w:r>
      <w:r>
        <w:rPr>
          <w:color w:val="0000FF"/>
        </w:rPr>
        <w:t>[insert name of the country]</w:t>
      </w:r>
      <w:r>
        <w:rPr/>
        <w:t>?</w:t>
      </w:r>
    </w:p>
    <w:p>
      <w:pPr>
        <w:pStyle w:val="Normal"/>
        <w:rPr/>
      </w:pPr>
      <w:r>
        <w:rPr/>
      </w:r>
    </w:p>
    <w:p>
      <w:pPr>
        <w:pStyle w:val="Normal"/>
        <w:rPr/>
      </w:pPr>
      <w:r>
        <w:rPr/>
      </w:r>
    </w:p>
    <w:p>
      <w:pPr>
        <w:pStyle w:val="Normal"/>
        <w:rPr/>
      </w:pPr>
      <w:r>
        <w:rPr/>
      </w:r>
    </w:p>
    <w:p>
      <w:pPr>
        <w:pStyle w:val="Normal"/>
        <w:rPr/>
      </w:pPr>
      <w:r>
        <w:rPr/>
      </w:r>
    </w:p>
    <w:p>
      <w:pPr>
        <w:pStyle w:val="Normal"/>
        <w:rPr>
          <w:b/>
          <w:bCs/>
        </w:rPr>
      </w:pPr>
      <w:r>
        <w:rPr>
          <w:b/>
          <w:bCs/>
        </w:rPr>
        <w:t>18.</w:t>
        <w:tab/>
        <w:t>GENERAL</w:t>
      </w:r>
    </w:p>
    <w:p>
      <w:pPr>
        <w:pStyle w:val="Normal"/>
        <w:rPr/>
      </w:pPr>
      <w:r>
        <w:rPr/>
      </w:r>
    </w:p>
    <w:p>
      <w:pPr>
        <w:pStyle w:val="Normal"/>
        <w:ind w:hanging="720" w:start="720" w:end="0"/>
        <w:rPr/>
      </w:pPr>
      <w:r>
        <w:rPr/>
        <w:tab/>
        <w:t xml:space="preserve">Is there any language which should be added to the ECTRI Agreement which would be required under law or which would enhance the likelihood of enforceability of the ECTRI Agreement under </w:t>
      </w:r>
      <w:r>
        <w:rPr>
          <w:color w:val="0000FF"/>
        </w:rPr>
        <w:t>[insert name of the country]</w:t>
      </w:r>
      <w:r>
        <w:rPr>
          <w:b/>
          <w:bCs/>
        </w:rPr>
        <w:t xml:space="preserve"> </w:t>
      </w:r>
      <w:r>
        <w:rPr/>
        <w:t>law?</w:t>
        <w:tab/>
      </w:r>
    </w:p>
    <w:p>
      <w:pPr>
        <w:pStyle w:val="Normal"/>
        <w:rPr/>
      </w:pPr>
      <w:r>
        <w:rPr/>
      </w:r>
    </w:p>
    <w:p>
      <w:pPr>
        <w:pStyle w:val="Normal"/>
        <w:rPr/>
      </w:pPr>
      <w:r>
        <w:rPr/>
      </w:r>
    </w:p>
    <w:p>
      <w:pPr>
        <w:pStyle w:val="Normal"/>
        <w:ind w:hanging="720" w:start="720" w:end="0"/>
        <w:rPr>
          <w:b/>
          <w:bCs/>
          <w:sz w:val="28"/>
          <w:szCs w:val="28"/>
          <w:u w:val="single"/>
        </w:rPr>
      </w:pPr>
      <w:r>
        <w:rPr>
          <w:b/>
          <w:bCs/>
          <w:sz w:val="28"/>
          <w:szCs w:val="28"/>
          <w:u w:val="single"/>
        </w:rPr>
        <w:t>PHYSICAL ENERGY SERVICES</w:t>
      </w:r>
    </w:p>
    <w:p>
      <w:pPr>
        <w:pStyle w:val="Normal"/>
        <w:ind w:hanging="720" w:start="1440" w:end="0"/>
        <w:rPr>
          <w:b/>
          <w:bCs/>
          <w:sz w:val="28"/>
          <w:szCs w:val="28"/>
          <w:u w:val="single"/>
        </w:rPr>
      </w:pPr>
      <w:r>
        <w:rPr>
          <w:b/>
          <w:bCs/>
          <w:sz w:val="28"/>
          <w:szCs w:val="28"/>
          <w:u w:val="single"/>
        </w:rPr>
      </w:r>
    </w:p>
    <w:p>
      <w:pPr>
        <w:pStyle w:val="Normal"/>
        <w:rPr/>
      </w:pPr>
      <w:r>
        <w:rPr/>
        <w:t>If the answers to any of the questions above would be different for physically-settled energy commodity transactions, please describe such differences.  In addition, please address the following questions:</w:t>
      </w:r>
    </w:p>
    <w:p>
      <w:pPr>
        <w:pStyle w:val="Normal"/>
        <w:ind w:hanging="720" w:start="720" w:end="0"/>
        <w:rPr/>
      </w:pPr>
      <w:r>
        <w:rPr/>
      </w:r>
    </w:p>
    <w:p>
      <w:pPr>
        <w:pStyle w:val="Normal"/>
        <w:rPr/>
      </w:pPr>
      <w:r>
        <w:rPr>
          <w:b/>
          <w:bCs/>
        </w:rPr>
        <w:t>19</w:t>
      </w:r>
      <w:r>
        <w:rPr/>
        <w:t>.</w:t>
        <w:tab/>
      </w:r>
      <w:r>
        <w:rPr>
          <w:b/>
          <w:bCs/>
        </w:rPr>
        <w:t>CUSTOMS/DUTIES</w:t>
      </w:r>
    </w:p>
    <w:p>
      <w:pPr>
        <w:pStyle w:val="Normal"/>
        <w:rPr/>
      </w:pPr>
      <w:r>
        <w:rPr/>
      </w:r>
    </w:p>
    <w:p>
      <w:pPr>
        <w:pStyle w:val="Normal"/>
        <w:rPr/>
      </w:pPr>
      <w:r>
        <w:rPr/>
        <w:t>(a)</w:t>
        <w:tab/>
        <w:t>What port fees, customs fees and duties are applied to the importation of Liquid Fuels?</w:t>
      </w:r>
    </w:p>
    <w:p>
      <w:pPr>
        <w:pStyle w:val="Normal"/>
        <w:rPr/>
      </w:pPr>
      <w:r>
        <w:rPr/>
      </w:r>
    </w:p>
    <w:p>
      <w:pPr>
        <w:pStyle w:val="Normal"/>
        <w:rPr/>
      </w:pPr>
      <w:r>
        <w:rPr/>
        <w:t>(b)</w:t>
        <w:tab/>
        <w:t>May items that have been imported be sold?  If items are sold, does duty become payable?</w:t>
      </w:r>
    </w:p>
    <w:p>
      <w:pPr>
        <w:pStyle w:val="Normal"/>
        <w:rPr/>
      </w:pPr>
      <w:r>
        <w:rPr/>
      </w:r>
    </w:p>
    <w:p>
      <w:pPr>
        <w:pStyle w:val="Normal"/>
        <w:ind w:hanging="720" w:start="720" w:end="0"/>
        <w:rPr/>
      </w:pPr>
      <w:r>
        <w:rPr/>
        <w:t>(c)</w:t>
        <w:tab/>
        <w:t>May items that have been imported be exported?  If so, may items that have been imported be exempted from levies upon export?</w:t>
      </w:r>
    </w:p>
    <w:p>
      <w:pPr>
        <w:pStyle w:val="Normal"/>
        <w:ind w:hanging="720" w:start="720" w:end="0"/>
        <w:rPr/>
      </w:pPr>
      <w:r>
        <w:rPr/>
      </w:r>
    </w:p>
    <w:p>
      <w:pPr>
        <w:pStyle w:val="Normal"/>
        <w:rPr/>
      </w:pPr>
      <w:r>
        <w:rPr>
          <w:b/>
          <w:bCs/>
        </w:rPr>
        <w:t>20.</w:t>
      </w:r>
      <w:r>
        <w:rPr/>
        <w:tab/>
      </w:r>
      <w:r>
        <w:rPr>
          <w:b/>
          <w:bCs/>
        </w:rPr>
        <w:t>EXCHANGE CONTROLS</w:t>
      </w:r>
    </w:p>
    <w:p>
      <w:pPr>
        <w:pStyle w:val="Normal"/>
        <w:rPr/>
      </w:pPr>
      <w:r>
        <w:rPr/>
      </w:r>
    </w:p>
    <w:p>
      <w:pPr>
        <w:pStyle w:val="Normal"/>
        <w:rPr/>
      </w:pPr>
      <w:r>
        <w:rPr/>
        <w:t>(a)</w:t>
        <w:tab/>
        <w:t xml:space="preserve">May proceeds from sales within </w:t>
      </w:r>
      <w:r>
        <w:rPr>
          <w:color w:val="0000FF"/>
        </w:rPr>
        <w:t>[insert name of the country]</w:t>
      </w:r>
      <w:r>
        <w:rPr>
          <w:b/>
          <w:bCs/>
        </w:rPr>
        <w:t xml:space="preserve"> </w:t>
      </w:r>
      <w:r>
        <w:rPr/>
        <w:t>be freely remitted abroad?</w:t>
      </w:r>
    </w:p>
    <w:p>
      <w:pPr>
        <w:pStyle w:val="Normal"/>
        <w:rPr/>
      </w:pPr>
      <w:r>
        <w:rPr/>
      </w:r>
    </w:p>
    <w:p>
      <w:pPr>
        <w:pStyle w:val="Normal"/>
        <w:ind w:hanging="720" w:start="720" w:end="0"/>
        <w:rPr/>
      </w:pPr>
      <w:r>
        <w:rPr/>
        <w:t>(b)</w:t>
        <w:tab/>
        <w:t>If payments for such sales are in local currency, can the local currency be converted into</w:t>
      </w:r>
      <w:r>
        <w:rPr>
          <w:b/>
          <w:bCs/>
        </w:rPr>
        <w:t xml:space="preserve"> </w:t>
      </w:r>
      <w:r>
        <w:rPr/>
        <w:t>U.S. dollars, which may then be remitted abroad?  Should delays be expected in converting from local currency?</w:t>
      </w:r>
    </w:p>
    <w:p>
      <w:pPr>
        <w:pStyle w:val="Normal"/>
        <w:rPr/>
      </w:pPr>
      <w:r>
        <w:rPr/>
      </w:r>
    </w:p>
    <w:p>
      <w:pPr>
        <w:pStyle w:val="Normal"/>
        <w:rPr/>
      </w:pPr>
      <w:r>
        <w:rPr/>
        <w:t>(c)</w:t>
        <w:tab/>
        <w:t>To what extent is convertible currency required to be brought into the country?</w:t>
      </w:r>
    </w:p>
    <w:p>
      <w:pPr>
        <w:pStyle w:val="Normal"/>
        <w:rPr/>
      </w:pPr>
      <w:r>
        <w:rPr/>
      </w:r>
    </w:p>
    <w:p>
      <w:pPr>
        <w:pStyle w:val="Normal"/>
        <w:keepLines/>
        <w:rPr/>
      </w:pPr>
      <w:r>
        <w:rPr>
          <w:b/>
          <w:bCs/>
        </w:rPr>
        <w:t>21.</w:t>
      </w:r>
      <w:r>
        <w:rPr/>
        <w:tab/>
      </w:r>
      <w:r>
        <w:rPr>
          <w:b/>
          <w:bCs/>
        </w:rPr>
        <w:t>ENVIRONMENTAL LAW</w:t>
      </w:r>
    </w:p>
    <w:p>
      <w:pPr>
        <w:pStyle w:val="Normal"/>
        <w:rPr/>
      </w:pPr>
      <w:r>
        <w:rPr/>
      </w:r>
    </w:p>
    <w:p>
      <w:pPr>
        <w:pStyle w:val="Normal"/>
        <w:ind w:hanging="720" w:start="720" w:end="0"/>
        <w:rPr/>
      </w:pPr>
      <w:r>
        <w:rPr/>
        <w:t>(a)</w:t>
        <w:tab/>
        <w:t>Are there shipping/maritime, environmental, health or safety laws (including conventions or international agreements) to which ECTRI would be subject in connection with the physical trading activities described above?</w:t>
      </w:r>
    </w:p>
    <w:p>
      <w:pPr>
        <w:pStyle w:val="Normal"/>
        <w:rPr/>
      </w:pPr>
      <w:r>
        <w:rPr/>
      </w:r>
    </w:p>
    <w:p>
      <w:pPr>
        <w:pStyle w:val="Normal"/>
        <w:ind w:hanging="720" w:start="720" w:end="0"/>
        <w:rPr/>
      </w:pPr>
      <w:r>
        <w:rPr/>
        <w:t>(b)</w:t>
        <w:tab/>
        <w:t xml:space="preserve">What is the liability for a Liquid Fuel spill in the waters of your country for a cargo owner? Charterer? Vessel owner or barge owner? Are there special clean-up restrictions or controls?  Spill taxes?  Would a separate corporate entity formed to conduct environmentally hazardous activities be honoured and protect its owners and affiliates from liability?  </w:t>
      </w:r>
    </w:p>
    <w:p>
      <w:pPr>
        <w:pStyle w:val="Normal"/>
        <w:ind w:hanging="720" w:start="720" w:end="0"/>
        <w:rPr/>
      </w:pPr>
      <w:r>
        <w:rPr/>
      </w:r>
    </w:p>
    <w:p>
      <w:pPr>
        <w:pStyle w:val="Normal"/>
        <w:ind w:hanging="720" w:start="720" w:end="0"/>
        <w:rPr/>
      </w:pPr>
      <w:r>
        <w:rPr/>
        <w:t>(c)</w:t>
        <w:tab/>
        <w:t>What are the answers to the questions asked in (b) above for Liquid Fuel spills on your country’s land for the owner of the commodity?  For a storage terminal owner? For a transporter? For a marketer/distributor of third-party product?</w:t>
      </w:r>
      <w:r>
        <w:rPr>
          <w:b/>
          <w:bCs/>
        </w:rPr>
        <w:t>[to be answered by China, Guam, India, Philippines and Thailand only]</w:t>
      </w:r>
    </w:p>
    <w:p>
      <w:pPr>
        <w:pStyle w:val="Normal"/>
        <w:rPr>
          <w:b/>
          <w:bCs/>
        </w:rPr>
      </w:pPr>
      <w:r>
        <w:rPr>
          <w:b/>
          <w:bCs/>
        </w:rPr>
      </w:r>
    </w:p>
    <w:p>
      <w:pPr>
        <w:pStyle w:val="Normal"/>
        <w:rPr>
          <w:b/>
          <w:bCs/>
        </w:rPr>
      </w:pPr>
      <w:r>
        <w:rPr>
          <w:b/>
          <w:bCs/>
        </w:rPr>
      </w:r>
    </w:p>
    <w:p>
      <w:pPr>
        <w:pStyle w:val="Normal"/>
        <w:rPr>
          <w:b/>
          <w:bCs/>
        </w:rPr>
      </w:pPr>
      <w:r>
        <w:rPr>
          <w:b/>
          <w:bCs/>
        </w:rPr>
      </w:r>
    </w:p>
    <w:p>
      <w:pPr>
        <w:pStyle w:val="Normal"/>
        <w:rPr/>
      </w:pPr>
      <w:r>
        <w:rPr>
          <w:b/>
          <w:bCs/>
        </w:rPr>
        <w:t>22.</w:t>
      </w:r>
      <w:r>
        <w:rPr/>
        <w:tab/>
      </w:r>
      <w:r>
        <w:rPr>
          <w:b/>
          <w:bCs/>
        </w:rPr>
        <w:t>BOYCOTT LAWS</w:t>
      </w:r>
    </w:p>
    <w:p>
      <w:pPr>
        <w:pStyle w:val="Normal"/>
        <w:rPr/>
      </w:pPr>
      <w:r>
        <w:rPr/>
      </w:r>
    </w:p>
    <w:p>
      <w:pPr>
        <w:pStyle w:val="Normal"/>
        <w:rPr/>
      </w:pPr>
      <w:r>
        <w:rPr/>
        <w:t>(a)</w:t>
        <w:tab/>
        <w:t>Does local law require the participation in or co-operation with an international boycott?</w:t>
      </w:r>
    </w:p>
    <w:p>
      <w:pPr>
        <w:pStyle w:val="Normal"/>
        <w:rPr/>
      </w:pPr>
      <w:r>
        <w:rPr/>
      </w:r>
    </w:p>
    <w:p>
      <w:pPr>
        <w:pStyle w:val="Normal"/>
        <w:ind w:hanging="720" w:start="720" w:end="0"/>
        <w:rPr/>
      </w:pPr>
      <w:r>
        <w:rPr/>
        <w:t>(b)</w:t>
        <w:tab/>
        <w:t>Are there any trade control, sanction or restriction laws (such as not allowing entry of vessels flying the flags of certain countries) in your country that ECTRI should be made aware of for the above-described activities?</w:t>
      </w:r>
    </w:p>
    <w:p>
      <w:pPr>
        <w:pStyle w:val="Normal"/>
        <w:rPr/>
      </w:pPr>
      <w:r>
        <w:rPr/>
      </w:r>
    </w:p>
    <w:p>
      <w:pPr>
        <w:pStyle w:val="Normal"/>
        <w:rPr/>
      </w:pPr>
      <w:r>
        <w:rPr/>
      </w:r>
    </w:p>
    <w:p>
      <w:pPr>
        <w:pStyle w:val="Normal"/>
        <w:rPr/>
      </w:pPr>
      <w:r>
        <w:rPr>
          <w:b/>
          <w:bCs/>
        </w:rPr>
        <w:t>23.</w:t>
      </w:r>
      <w:r>
        <w:rPr/>
        <w:tab/>
      </w:r>
      <w:r>
        <w:rPr>
          <w:b/>
          <w:bCs/>
        </w:rPr>
        <w:t>LIQUID FUELS BUSINESS</w:t>
      </w:r>
    </w:p>
    <w:p>
      <w:pPr>
        <w:pStyle w:val="Normal"/>
        <w:rPr/>
      </w:pPr>
      <w:r>
        <w:rPr/>
      </w:r>
    </w:p>
    <w:p>
      <w:pPr>
        <w:pStyle w:val="Normal"/>
        <w:ind w:hanging="720" w:start="720" w:end="0"/>
        <w:rPr/>
      </w:pPr>
      <w:r>
        <w:rPr/>
        <w:t>(a)</w:t>
        <w:tab/>
      </w:r>
      <w:r>
        <w:rPr>
          <w:b/>
          <w:bCs/>
        </w:rPr>
        <w:t>Importing</w:t>
      </w:r>
      <w:r>
        <w:rPr/>
        <w:t>. Is a privately-owned foreign or local company permitted to import Liquid Fuels into your country?  If so, what licenses, permits and approvals, if any, are required?  If a locally-formed entity is required to import Liquid Fuels, what are the requirements for the entity, such as the type of entity and local ownership requirements?  Is the importer required to import a minimum product volume, hold minimum inventories locally, or lease or own storage facilities locally? What are the duties, taxes or other fees imposed on imports of Liquid Fuels into your country?</w:t>
      </w:r>
    </w:p>
    <w:p>
      <w:pPr>
        <w:pStyle w:val="Normal"/>
        <w:rPr/>
      </w:pPr>
      <w:r>
        <w:rPr/>
      </w:r>
    </w:p>
    <w:p>
      <w:pPr>
        <w:pStyle w:val="Normal"/>
        <w:ind w:hanging="720" w:start="720" w:end="0"/>
        <w:rPr/>
      </w:pPr>
      <w:r>
        <w:rPr/>
        <w:t>(b)</w:t>
        <w:tab/>
      </w:r>
      <w:r>
        <w:rPr>
          <w:b/>
          <w:bCs/>
        </w:rPr>
        <w:t>Exporting</w:t>
      </w:r>
      <w:r>
        <w:rPr/>
        <w:t>.  Please answer the questions raised in (A) above as applied to “exporting out of your country” instead of “importing into your country”?</w:t>
      </w:r>
      <w:r>
        <w:rPr>
          <w:b/>
          <w:bCs/>
        </w:rPr>
        <w:t>[to be answered by all countries except Taiwan]</w:t>
      </w:r>
    </w:p>
    <w:p>
      <w:pPr>
        <w:pStyle w:val="Normal"/>
        <w:ind w:hanging="360" w:start="1080" w:end="0"/>
        <w:rPr>
          <w:b/>
          <w:bCs/>
        </w:rPr>
      </w:pPr>
      <w:r>
        <w:rPr>
          <w:b/>
          <w:bCs/>
        </w:rPr>
      </w:r>
    </w:p>
    <w:p>
      <w:pPr>
        <w:pStyle w:val="Normal"/>
        <w:ind w:hanging="720" w:start="720" w:end="0"/>
        <w:rPr/>
      </w:pPr>
      <w:r>
        <w:rPr/>
        <w:t>(c)</w:t>
        <w:tab/>
      </w:r>
      <w:r>
        <w:rPr>
          <w:b/>
          <w:bCs/>
        </w:rPr>
        <w:t>In-Country Marketing/Distribution</w:t>
      </w:r>
      <w:r>
        <w:rPr/>
        <w:t xml:space="preserve">.  Is a privately-owned foreign or local company permitted to store, market (wholesale or retail), and transport Liquid Fuels to customers within your country? If so, what licenses, permits and approvals, if any, are required?  </w:t>
      </w:r>
      <w:r>
        <w:rPr>
          <w:b/>
          <w:bCs/>
        </w:rPr>
        <w:t>[</w:t>
      </w:r>
      <w:r>
        <w:rPr/>
        <w:t>If a locally-formed entity is required to store, market and transport Liquid Fuels, what are the requirements for the entity, such as the type of entity and local ownership requirements?  Assuming that these activities can be conducted by ECTRI, what taxes are imposed on sales of Liquid Fuels in your country (wholesale or retail)?</w:t>
      </w:r>
      <w:r>
        <w:rPr>
          <w:b/>
          <w:bCs/>
        </w:rPr>
        <w:t>[To be answered by China, Guam, India, Philippines and Thailand only]</w:t>
      </w:r>
    </w:p>
    <w:p>
      <w:pPr>
        <w:pStyle w:val="Normal"/>
        <w:ind w:hanging="360" w:start="1080" w:end="0"/>
        <w:rPr/>
      </w:pPr>
      <w:r>
        <w:rPr/>
      </w:r>
    </w:p>
    <w:p>
      <w:pPr>
        <w:pStyle w:val="Normal"/>
        <w:ind w:hanging="720" w:start="720" w:end="0"/>
        <w:rPr/>
      </w:pPr>
      <w:r>
        <w:rPr/>
        <w:t>(d)</w:t>
        <w:tab/>
      </w:r>
      <w:r>
        <w:rPr>
          <w:b/>
          <w:bCs/>
        </w:rPr>
        <w:t>Storage and Transportation</w:t>
      </w:r>
      <w:r>
        <w:rPr/>
        <w:t>.  What are the legal restrictions and requirements, if any, on ownership or leasing of a Liquid Fuels storage facility in your country? Are there special taxes, duties, or other fees imposed on the owner or lessee of the storage facility, and, if so, what are the rates?  What are the legal restrictions and requirements, if any, on ownership or leasing of transportation services for Liquid Fuels, or on acquiring such services from a third party?  Would it be possible to establish a “free trade zone” for the storage facility to avoid all import/export duties when the Liquid Fuels are destined to a market outside of your country?</w:t>
      </w:r>
      <w:r>
        <w:rPr>
          <w:b/>
          <w:bCs/>
        </w:rPr>
        <w:t>[To be answered by China, Guam, India, Philippines and Thailand only]</w:t>
      </w:r>
    </w:p>
    <w:p>
      <w:pPr>
        <w:pStyle w:val="Normal"/>
        <w:rPr/>
      </w:pPr>
      <w:r>
        <w:rPr/>
      </w:r>
    </w:p>
    <w:p>
      <w:pPr>
        <w:pStyle w:val="Normal"/>
        <w:ind w:hanging="720" w:start="720" w:end="0"/>
        <w:rPr/>
      </w:pPr>
      <w:r>
        <w:rPr/>
        <w:t>(e)</w:t>
        <w:tab/>
        <w:t xml:space="preserve">Fuel Manager.  If ECTRI never holds title to the Liquid Fuels and is not otherwise physical present in </w:t>
      </w:r>
      <w:r>
        <w:rPr>
          <w:color w:val="0000FF"/>
        </w:rPr>
        <w:t>[insert name of the country]</w:t>
      </w:r>
      <w:r>
        <w:rPr>
          <w:b/>
          <w:bCs/>
        </w:rPr>
        <w:t xml:space="preserve"> </w:t>
      </w:r>
      <w:r>
        <w:rPr/>
        <w:t>but arranges for or manages from a foreign location the fuel supply to a locally owned power plant as a service for a fee, what are the applicable regulations and taxes, if any?</w:t>
      </w:r>
    </w:p>
    <w:p>
      <w:pPr>
        <w:pStyle w:val="Normal"/>
        <w:rPr/>
      </w:pPr>
      <w:r>
        <w:rPr/>
      </w:r>
    </w:p>
    <w:p>
      <w:pPr>
        <w:pStyle w:val="Normal"/>
        <w:rPr/>
      </w:pPr>
      <w:r>
        <w:rPr>
          <w:b/>
          <w:bCs/>
        </w:rPr>
        <w:t>24.</w:t>
      </w:r>
      <w:r>
        <w:rPr/>
        <w:tab/>
      </w:r>
      <w:r>
        <w:rPr>
          <w:b/>
          <w:bCs/>
        </w:rPr>
        <w:t>NATURAL GAS MARKETING AND ELECTRICAL POWER</w:t>
      </w:r>
    </w:p>
    <w:p>
      <w:pPr>
        <w:pStyle w:val="Normal"/>
        <w:rPr/>
      </w:pPr>
      <w:r>
        <w:rPr/>
      </w:r>
    </w:p>
    <w:p>
      <w:pPr>
        <w:pStyle w:val="Normal"/>
        <w:ind w:start="720" w:end="0"/>
        <w:rPr/>
      </w:pPr>
      <w:r>
        <w:rPr/>
        <w:t>Is a privately-owned foreign or local company permitted to market natural gas or electrical power to customers within your country? If so, what licenses, permits and approvals, if any, are required?</w:t>
      </w:r>
      <w:r>
        <w:rPr>
          <w:b/>
          <w:bCs/>
        </w:rPr>
        <w:t xml:space="preserve">[To be answered by Australia (both gas and power); Indonesia (gas only); Japan (power only); Korea (power only); Malaysia (gas only); Philippines (power only); Thailand (both gas and power)] </w:t>
      </w:r>
    </w:p>
    <w:p>
      <w:pPr>
        <w:pStyle w:val="Normal"/>
        <w:rPr/>
      </w:pPr>
      <w:r>
        <w:rPr/>
      </w:r>
    </w:p>
    <w:p>
      <w:pPr>
        <w:pStyle w:val="Normal"/>
        <w:rPr>
          <w:b/>
          <w:bCs/>
        </w:rPr>
      </w:pPr>
      <w:r>
        <w:rPr>
          <w:b/>
          <w:bCs/>
        </w:rPr>
        <w:t>25.</w:t>
        <w:tab/>
        <w:t>ANTITRUST / ANTI-COMPETITIVE PRACTICES LAWS</w:t>
      </w:r>
    </w:p>
    <w:p>
      <w:pPr>
        <w:pStyle w:val="Normal"/>
        <w:rPr/>
      </w:pPr>
      <w:r>
        <w:rPr/>
      </w:r>
    </w:p>
    <w:p>
      <w:pPr>
        <w:pStyle w:val="Normal"/>
        <w:ind w:start="720" w:end="0"/>
        <w:rPr/>
      </w:pPr>
      <w:r>
        <w:rPr/>
        <w:t xml:space="preserve">Are there any orders, rules, regulations or laws that restrict companies from owning or operating businesses in your country involved in each stage of the energy services sector, such as (i) exploration and production, (ii) gathering and storage, (iii) transportation, and (iv) marketing and distribution of a particular energy commodity (e.g., Liquid Fuels, natural gas, electrical power)?  </w:t>
      </w:r>
      <w:r>
        <w:rPr>
          <w:b/>
          <w:bCs/>
        </w:rPr>
        <w:t>[To be answered by all countries except Singapore]</w:t>
      </w:r>
    </w:p>
    <w:p>
      <w:pPr>
        <w:pStyle w:val="Normal"/>
        <w:rPr/>
      </w:pPr>
      <w:r>
        <w:rPr/>
        <w:tab/>
      </w:r>
    </w:p>
    <w:p>
      <w:pPr>
        <w:pStyle w:val="Normal"/>
        <w:rPr/>
      </w:pPr>
      <w:r>
        <w:rPr/>
        <w:t xml:space="preserve">Please call the undersigned after you have had a chance to review the scope of what we are asking so that we may discuss any obvious legal problems to doing business in </w:t>
      </w:r>
      <w:r>
        <w:rPr>
          <w:color w:val="0000FF"/>
        </w:rPr>
        <w:t>[insert name of the country</w:t>
      </w:r>
      <w:r>
        <w:rPr/>
        <w:t xml:space="preserve">] as well as the timing of the project (we are hoping that we can review a preliminary written draft regarding the financially-settled transactions section by </w:t>
      </w:r>
      <w:r>
        <w:rPr>
          <w:color w:val="0000FF"/>
        </w:rPr>
        <w:t>[insert date]</w:t>
      </w:r>
      <w:r>
        <w:rPr/>
        <w:t xml:space="preserve"> and regarding the Physical Energy Services section by </w:t>
      </w:r>
      <w:r>
        <w:rPr>
          <w:color w:val="0000FF"/>
        </w:rPr>
        <w:t>[insert date]</w:t>
      </w:r>
      <w:r>
        <w:rPr/>
        <w:t xml:space="preserve"> and any additional questions you might have.  My direct line is </w:t>
      </w:r>
      <w:r>
        <w:rPr>
          <w:color w:val="0000FF"/>
        </w:rPr>
        <w:t>[(713)                ]</w:t>
      </w:r>
      <w:r>
        <w:rPr/>
        <w:t xml:space="preserve"> and fax numbers is </w:t>
      </w:r>
      <w:r>
        <w:rPr>
          <w:color w:val="0000FF"/>
        </w:rPr>
        <w:t>[(713)              ].</w:t>
      </w:r>
    </w:p>
    <w:p>
      <w:pPr>
        <w:pStyle w:val="Index1"/>
        <w:tabs>
          <w:tab w:val="clear" w:pos="9000"/>
        </w:tabs>
        <w:rPr/>
      </w:pPr>
      <w:r>
        <w:rPr/>
      </w:r>
    </w:p>
    <w:p>
      <w:pPr>
        <w:pStyle w:val="Normal"/>
        <w:rPr/>
      </w:pPr>
      <w:r>
        <w:rPr/>
        <w:t>Yours sincerely,</w:t>
      </w:r>
    </w:p>
    <w:p>
      <w:pPr>
        <w:pStyle w:val="Normal"/>
        <w:rPr/>
      </w:pPr>
      <w:r>
        <w:rPr/>
      </w:r>
    </w:p>
    <w:p>
      <w:pPr>
        <w:pStyle w:val="Normal"/>
        <w:rPr/>
      </w:pPr>
      <w:r>
        <w:rPr/>
      </w:r>
    </w:p>
    <w:p>
      <w:pPr>
        <w:pStyle w:val="Normal"/>
        <w:rPr/>
      </w:pPr>
      <w:r>
        <w:rPr/>
      </w:r>
    </w:p>
    <w:p>
      <w:pPr>
        <w:pStyle w:val="Normal"/>
        <w:rPr>
          <w:color w:val="0000FF"/>
        </w:rPr>
      </w:pPr>
      <w:r>
        <w:rPr>
          <w:color w:val="0000FF"/>
        </w:rPr>
        <w:t>[name of the attorney]</w:t>
      </w:r>
    </w:p>
    <w:p>
      <w:pPr>
        <w:pStyle w:val="Normal"/>
        <w:rPr>
          <w:color w:val="0000FF"/>
        </w:rPr>
      </w:pPr>
      <w:r>
        <w:rPr>
          <w:color w:val="0000FF"/>
        </w:rPr>
        <w:t>[title]</w:t>
      </w:r>
    </w:p>
    <w:p>
      <w:pPr>
        <w:pStyle w:val="Normal"/>
        <w:rPr>
          <w:color w:val="0000FF"/>
        </w:rPr>
      </w:pPr>
      <w:r>
        <w:rPr>
          <w:color w:val="0000FF"/>
        </w:rPr>
      </w:r>
    </w:p>
    <w:p>
      <w:pPr>
        <w:pStyle w:val="Normal"/>
        <w:rPr/>
      </w:pPr>
      <w:r>
        <w:rPr/>
        <w:t>Enclosures (if any)</w:t>
      </w:r>
    </w:p>
    <w:p>
      <w:pPr>
        <w:pStyle w:val="Normal"/>
        <w:rPr/>
      </w:pPr>
      <w:r>
        <w:rPr/>
      </w:r>
    </w:p>
    <w:sectPr>
      <w:headerReference w:type="default" r:id="rId2"/>
      <w:headerReference w:type="first" r:id="rId3"/>
      <w:footerReference w:type="default" r:id="rId4"/>
      <w:footerReference w:type="first" r:id="rId5"/>
      <w:type w:val="nextPage"/>
      <w:pgSz w:w="11906" w:h="16838"/>
      <w:pgMar w:left="1440" w:right="1440" w:gutter="0" w:header="1008" w:top="1064" w:footer="36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szCs w:val="18"/>
      </w:rPr>
    </w:pPr>
    <w:r>
      <w:rPr>
        <w:sz w:val="18"/>
        <w:szCs w:val="18"/>
      </w:rPr>
    </w:r>
  </w:p>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/mnt/main-storage/datasets/enron-docs/doc/Memo_Request__longfrm_.doc</w:t>
    </w:r>
    <w:r>
      <w:rPr>
        <w:sz w:val="16"/>
        <w:szCs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szCs w:val="22"/>
      </w:rPr>
    </w:pPr>
    <w:r>
      <w:rPr>
        <w:sz w:val="22"/>
        <w:szCs w:val="22"/>
      </w:rPr>
    </w:r>
  </w:p>
  <w:p>
    <w:pPr>
      <w:pStyle w:val="Header"/>
      <w:tabs>
        <w:tab w:val="clear" w:pos="720"/>
        <w:tab w:val="left" w:pos="850" w:leader="none"/>
        <w:tab w:val="right" w:pos="8730" w:leader="none"/>
      </w:tabs>
      <w:rPr>
        <w:sz w:val="22"/>
        <w:szCs w:val="22"/>
      </w:rPr>
    </w:pPr>
    <w:bookmarkStart w:id="5" w:name="Header"/>
    <w:bookmarkEnd w:id="5"/>
    <w:r>
      <w:rPr>
        <w:sz w:val="22"/>
        <w:szCs w:val="22"/>
      </w:rPr>
      <w:t>[Date]</w:t>
    </w:r>
  </w:p>
  <w:p>
    <w:pPr>
      <w:pStyle w:val="Header"/>
      <w:tabs>
        <w:tab w:val="clear" w:pos="720"/>
        <w:tab w:val="left" w:pos="850" w:leader="none"/>
        <w:tab w:val="right" w:pos="8730" w:leader="none"/>
      </w:tabs>
      <w:rPr>
        <w:rStyle w:val="PageNumber"/>
      </w:rPr>
    </w:pPr>
    <w:r>
      <w:rPr>
        <w:sz w:val="22"/>
        <w:szCs w:val="22"/>
      </w:rPr>
      <w:t>Page:</w:t>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Header"/>
      <w:tabs>
        <w:tab w:val="clear" w:pos="720"/>
        <w:tab w:val="left" w:pos="850" w:leader="none"/>
        <w:tab w:val="right" w:pos="8730" w:leader="none"/>
      </w:tabs>
      <w:rPr>
        <w:rStyle w:val="PageNumber"/>
        <w:sz w:val="22"/>
        <w:szCs w:val="22"/>
      </w:rPr>
    </w:pPr>
    <w:r>
      <w:rPr/>
    </w:r>
  </w:p>
  <w:p>
    <w:pPr>
      <w:pStyle w:val="Header"/>
      <w:tabs>
        <w:tab w:val="clear" w:pos="720"/>
        <w:tab w:val="left" w:pos="850" w:leader="none"/>
        <w:tab w:val="right" w:pos="8730" w:leader="none"/>
      </w:tabs>
      <w:rPr>
        <w:sz w:val="22"/>
        <w:szCs w:val="22"/>
      </w:rPr>
    </w:pPr>
    <w:r>
      <w:rPr>
        <w:sz w:val="22"/>
        <w:szCs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i/>
        <w:i/>
        <w:iCs/>
        <w:sz w:val="20"/>
        <w:szCs w:val="20"/>
      </w:rPr>
    </w:pPr>
    <w:r>
      <w:rPr>
        <w:i/>
        <w:iCs/>
        <w:sz w:val="20"/>
        <w:szCs w:val="20"/>
      </w:rPr>
      <w:t>[This is the memorandum developed by Enron and Allen &amp; Overy in 1996 for the initial legal survey of several countries in Asia-Pacific and Latin America]</w:t>
    </w:r>
  </w:p>
  <w:p>
    <w:pPr>
      <w:pStyle w:val="Header"/>
      <w:rPr>
        <w:i/>
        <w:i/>
        <w:iCs/>
        <w:sz w:val="20"/>
        <w:szCs w:val="20"/>
      </w:rPr>
    </w:pPr>
    <w:r>
      <w:rPr>
        <w:i/>
        <w:iCs/>
        <w:sz w:val="20"/>
        <w:szCs w:val="20"/>
      </w:rPr>
    </w:r>
  </w:p>
  <w:p>
    <w:pPr>
      <w:pStyle w:val="Header"/>
      <w:rPr/>
    </w:pPr>
    <w:r>
      <w:rPr/>
    </w:r>
  </w:p>
  <w:p>
    <w:pPr>
      <w:pStyle w:val="Header"/>
      <w:rPr/>
    </w:pPr>
    <w:r>
      <w:rPr/>
    </w:r>
  </w:p>
  <w:p>
    <w:pPr>
      <w:pStyle w:val="Header"/>
      <w:tabs>
        <w:tab w:val="clear" w:pos="720"/>
        <w:tab w:val="left" w:pos="6667" w:leader="none"/>
      </w:tabs>
      <w:rPr>
        <w:sz w:val="18"/>
        <w:szCs w:val="18"/>
      </w:rPr>
    </w:pPr>
    <w:r>
      <w:rPr>
        <w:sz w:val="20"/>
        <w:szCs w:val="20"/>
      </w:rPr>
      <w:tab/>
    </w:r>
  </w:p>
  <w:tbl>
    <w:tblPr>
      <w:tblW w:w="9531" w:type="dxa"/>
      <w:jc w:val="start"/>
      <w:tblInd w:w="0" w:type="dxa"/>
      <w:tblLayout w:type="fixed"/>
      <w:tblCellMar>
        <w:top w:w="0" w:type="dxa"/>
        <w:start w:w="108" w:type="dxa"/>
        <w:bottom w:w="0" w:type="dxa"/>
        <w:end w:w="108" w:type="dxa"/>
      </w:tblCellMar>
    </w:tblPr>
    <w:tblGrid>
      <w:gridCol w:w="2178"/>
      <w:gridCol w:w="4500"/>
      <w:gridCol w:w="2853"/>
    </w:tblGrid>
    <w:tr>
      <w:trPr/>
      <w:tc>
        <w:tcPr>
          <w:tcW w:w="2178" w:type="dxa"/>
          <w:tcBorders>
            <w:top w:val="dashed" w:sz="6" w:space="0" w:color="auto"/>
            <w:start w:val="dashed" w:sz="6" w:space="0" w:color="auto"/>
            <w:bottom w:val="dashed" w:sz="6" w:space="0" w:color="auto"/>
            <w:end w:val="dashed" w:sz="6" w:space="0" w:color="auto"/>
          </w:tcBorders>
        </w:tcPr>
        <w:p>
          <w:pPr>
            <w:pStyle w:val="Header"/>
            <w:snapToGrid w:val="false"/>
            <w:rPr>
              <w:sz w:val="18"/>
              <w:szCs w:val="18"/>
            </w:rPr>
          </w:pPr>
          <w:r>
            <w:rPr>
              <w:sz w:val="18"/>
              <w:szCs w:val="18"/>
            </w:rPr>
          </w:r>
        </w:p>
      </w:tc>
      <w:tc>
        <w:tcPr>
          <w:tcW w:w="4500" w:type="dxa"/>
          <w:tcBorders>
            <w:top w:val="dashed" w:sz="6" w:space="0" w:color="auto"/>
            <w:start w:val="dashed" w:sz="6" w:space="0" w:color="auto"/>
            <w:bottom w:val="dashed" w:sz="6" w:space="0" w:color="auto"/>
            <w:end w:val="dashed" w:sz="6" w:space="0" w:color="auto"/>
          </w:tcBorders>
        </w:tcPr>
        <w:p>
          <w:pPr>
            <w:pStyle w:val="Header"/>
            <w:tabs>
              <w:tab w:val="clear" w:pos="720"/>
              <w:tab w:val="left" w:pos="2322" w:leader="none"/>
            </w:tabs>
            <w:snapToGrid w:val="false"/>
            <w:rPr>
              <w:sz w:val="18"/>
              <w:szCs w:val="18"/>
            </w:rPr>
          </w:pPr>
          <w:r>
            <w:rPr>
              <w:sz w:val="18"/>
              <w:szCs w:val="18"/>
            </w:rPr>
          </w:r>
        </w:p>
      </w:tc>
      <w:tc>
        <w:tcPr>
          <w:tcW w:w="2853" w:type="dxa"/>
          <w:tcBorders>
            <w:top w:val="dashed" w:sz="6" w:space="0" w:color="auto"/>
            <w:start w:val="dashed" w:sz="6" w:space="0" w:color="auto"/>
            <w:bottom w:val="dashed" w:sz="6" w:space="0" w:color="auto"/>
            <w:end w:val="dashed" w:sz="6" w:space="0" w:color="auto"/>
          </w:tcBorders>
        </w:tcPr>
        <w:p>
          <w:pPr>
            <w:pStyle w:val="Header"/>
            <w:tabs>
              <w:tab w:val="clear" w:pos="720"/>
              <w:tab w:val="right" w:pos="2637" w:leader="none"/>
            </w:tabs>
            <w:snapToGrid w:val="false"/>
            <w:rPr>
              <w:sz w:val="18"/>
              <w:szCs w:val="18"/>
            </w:rPr>
          </w:pPr>
          <w:r>
            <w:rPr>
              <w:sz w:val="18"/>
              <w:szCs w:val="18"/>
            </w:rPr>
          </w:r>
        </w:p>
      </w:tc>
    </w:tr>
  </w:tbl>
  <w:p>
    <w:pPr>
      <w:pStyle w:val="Header"/>
      <w:rPr>
        <w:sz w:val="22"/>
        <w:szCs w:val="22"/>
      </w:rPr>
    </w:pPr>
    <w:r>
      <w:rPr>
        <w:sz w:val="22"/>
        <w:szCs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72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2"/>
      <w:lang w:val="en-GB" w:eastAsia="zh-CN" w:bidi="hi-IN"/>
    </w:rPr>
  </w:style>
  <w:style w:type="paragraph" w:styleId="Heading1">
    <w:name w:val="heading 1"/>
    <w:basedOn w:val="Normal"/>
    <w:next w:val="Normal"/>
    <w:qFormat/>
    <w:pPr>
      <w:keepNext w:val="true"/>
      <w:numPr>
        <w:ilvl w:val="0"/>
        <w:numId w:val="1"/>
      </w:numPr>
      <w:spacing w:before="0" w:after="240"/>
      <w:outlineLvl w:val="0"/>
    </w:pPr>
    <w:rPr>
      <w:b/>
      <w:bCs/>
      <w:caps/>
    </w:rPr>
  </w:style>
  <w:style w:type="paragraph" w:styleId="Heading2">
    <w:name w:val="heading 2"/>
    <w:basedOn w:val="Normal"/>
    <w:next w:val="Normal"/>
    <w:qFormat/>
    <w:pPr>
      <w:keepNext w:val="true"/>
      <w:numPr>
        <w:ilvl w:val="1"/>
        <w:numId w:val="1"/>
      </w:numPr>
      <w:spacing w:before="0" w:after="240"/>
      <w:outlineLvl w:val="1"/>
    </w:pPr>
    <w:rPr>
      <w:b/>
      <w:bCs/>
    </w:rPr>
  </w:style>
  <w:style w:type="paragraph" w:styleId="Heading3">
    <w:name w:val="heading 3"/>
    <w:basedOn w:val="Normal"/>
    <w:next w:val="Normal"/>
    <w:qFormat/>
    <w:pPr>
      <w:numPr>
        <w:ilvl w:val="2"/>
        <w:numId w:val="1"/>
      </w:numPr>
      <w:spacing w:before="0" w:after="240"/>
      <w:outlineLvl w:val="2"/>
    </w:pPr>
    <w:rPr/>
  </w:style>
  <w:style w:type="paragraph" w:styleId="Heading4">
    <w:name w:val="heading 4"/>
    <w:basedOn w:val="Normal"/>
    <w:next w:val="Normal"/>
    <w:qFormat/>
    <w:pPr>
      <w:numPr>
        <w:ilvl w:val="3"/>
        <w:numId w:val="1"/>
      </w:numPr>
      <w:spacing w:before="0" w:after="240"/>
      <w:outlineLvl w:val="3"/>
    </w:pPr>
    <w:rPr/>
  </w:style>
  <w:style w:type="paragraph" w:styleId="Heading5">
    <w:name w:val="heading 5"/>
    <w:basedOn w:val="Normal"/>
    <w:next w:val="Normal"/>
    <w:qFormat/>
    <w:pPr>
      <w:numPr>
        <w:ilvl w:val="4"/>
        <w:numId w:val="1"/>
      </w:numPr>
      <w:spacing w:before="240" w:after="60"/>
      <w:outlineLvl w:val="4"/>
    </w:pPr>
    <w:rPr/>
  </w:style>
  <w:style w:type="paragraph" w:styleId="Heading6">
    <w:name w:val="heading 6"/>
    <w:basedOn w:val="Normal"/>
    <w:next w:val="Normal"/>
    <w:qFormat/>
    <w:pPr>
      <w:numPr>
        <w:ilvl w:val="5"/>
        <w:numId w:val="1"/>
      </w:numPr>
      <w:spacing w:before="240" w:after="60"/>
      <w:outlineLvl w:val="5"/>
    </w:pPr>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style>
  <w:style w:type="paragraph" w:styleId="Heading9">
    <w:name w:val="heading 9"/>
    <w:basedOn w:val="Normal"/>
    <w:next w:val="Normal"/>
    <w:qFormat/>
    <w:pPr>
      <w:numPr>
        <w:ilvl w:val="8"/>
        <w:numId w:val="1"/>
      </w:numPr>
      <w:spacing w:before="240" w:after="60"/>
      <w:outlineLvl w:val="8"/>
    </w:pPr>
    <w:rPr/>
  </w:style>
  <w:style w:type="character" w:styleId="DefaultParagraphFont">
    <w:name w:val="Default Paragraph Font"/>
    <w:qFormat/>
    <w:rPr/>
  </w:style>
  <w:style w:type="character" w:styleId="AnnotationReference">
    <w:name w:val="Annotation Reference"/>
    <w:basedOn w:val="DefaultParagraphFont"/>
    <w:qFormat/>
    <w:rPr>
      <w:color w:val="FF0000"/>
      <w:sz w:val="16"/>
      <w:szCs w:val="16"/>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nnotationText">
    <w:name w:val="Annotation Text"/>
    <w:basedOn w:val="Normal"/>
    <w:qFormat/>
    <w:pPr>
      <w:ind w:hanging="720" w:start="720" w:end="0"/>
    </w:pPr>
    <w:rPr>
      <w:color w:val="FF0000"/>
      <w:sz w:val="16"/>
      <w:szCs w:val="16"/>
    </w:rPr>
  </w:style>
  <w:style w:type="paragraph" w:styleId="EnvelopeAddress">
    <w:name w:val="envelope address"/>
    <w:basedOn w:val="Normal"/>
    <w:pPr>
      <w:ind w:hanging="0" w:start="2880" w:end="0"/>
      <w:jc w:val="start"/>
    </w:pPr>
    <w:rPr/>
  </w:style>
  <w:style w:type="paragraph" w:styleId="EnvelopeReturn">
    <w:name w:val="envelope return"/>
    <w:basedOn w:val="Normal"/>
    <w:pPr>
      <w:jc w:val="start"/>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500" w:leader="none"/>
        <w:tab w:val="right" w:pos="9000" w:leader="none"/>
        <w:tab w:val="right" w:pos="13594" w:leader="none"/>
      </w:tabs>
      <w:jc w:val="start"/>
    </w:pPr>
    <w:rPr/>
  </w:style>
  <w:style w:type="paragraph" w:styleId="footer1">
    <w:name w:val="footer 1"/>
    <w:basedOn w:val="Normal"/>
    <w:qFormat/>
    <w:pPr>
      <w:tabs>
        <w:tab w:val="clear" w:pos="720"/>
        <w:tab w:val="center" w:pos="4507" w:leader="none"/>
        <w:tab w:val="center" w:pos="6653" w:leader="none"/>
        <w:tab w:val="right" w:pos="13594" w:leader="none"/>
      </w:tabs>
      <w:jc w:val="start"/>
    </w:pPr>
    <w:rPr/>
  </w:style>
  <w:style w:type="paragraph" w:styleId="FootnoteText">
    <w:name w:val="footnote text"/>
    <w:basedOn w:val="Normal"/>
    <w:pPr>
      <w:ind w:hanging="720" w:start="720" w:end="0"/>
    </w:pPr>
    <w:rPr>
      <w:sz w:val="16"/>
      <w:szCs w:val="16"/>
    </w:rPr>
  </w:style>
  <w:style w:type="paragraph" w:styleId="NormalIndent">
    <w:name w:val="Normal Indent"/>
    <w:basedOn w:val="Normal"/>
    <w:qFormat/>
    <w:pPr>
      <w:ind w:hanging="0" w:start="720" w:end="0"/>
    </w:pPr>
    <w:rPr/>
  </w:style>
  <w:style w:type="paragraph" w:styleId="H3Indent">
    <w:name w:val="H3 Indent"/>
    <w:basedOn w:val="NormalIndent"/>
    <w:next w:val="Normal"/>
    <w:qFormat/>
    <w:pPr>
      <w:ind w:hanging="0" w:start="1440" w:end="0"/>
      <w:jc w:val="start"/>
    </w:pPr>
    <w:rPr/>
  </w:style>
  <w:style w:type="paragraph" w:styleId="Header">
    <w:name w:val="header"/>
    <w:basedOn w:val="Normal"/>
    <w:pPr>
      <w:jc w:val="start"/>
    </w:pPr>
    <w:rPr>
      <w:sz w:val="16"/>
      <w:szCs w:val="16"/>
    </w:rPr>
  </w:style>
  <w:style w:type="paragraph" w:styleId="header1">
    <w:name w:val="header 1"/>
    <w:basedOn w:val="Header"/>
    <w:qFormat/>
    <w:pPr>
      <w:pBdr>
        <w:bottom w:val="single" w:sz="6" w:space="1" w:color="000000"/>
      </w:pBdr>
      <w:tabs>
        <w:tab w:val="clear" w:pos="720"/>
        <w:tab w:val="center" w:pos="4507" w:leader="none"/>
        <w:tab w:val="center" w:pos="6653" w:leader="none"/>
        <w:tab w:val="right" w:pos="9000" w:leader="none"/>
        <w:tab w:val="right" w:pos="13594" w:leader="none"/>
      </w:tabs>
    </w:pPr>
    <w:rPr/>
  </w:style>
  <w:style w:type="paragraph" w:styleId="header2">
    <w:name w:val="header 2"/>
    <w:basedOn w:val="header1"/>
    <w:qFormat/>
    <w:pPr>
      <w:pBdr>
        <w:bottom w:val="nil"/>
      </w:pBdr>
    </w:pPr>
    <w:rPr/>
  </w:style>
  <w:style w:type="paragraph" w:styleId="Index1">
    <w:name w:val="index 1"/>
    <w:basedOn w:val="Normal"/>
    <w:next w:val="Normal"/>
    <w:pPr>
      <w:tabs>
        <w:tab w:val="clear" w:pos="720"/>
        <w:tab w:val="decimal" w:pos="9000" w:leader="dot"/>
      </w:tabs>
    </w:pPr>
    <w:rPr/>
  </w:style>
  <w:style w:type="paragraph" w:styleId="TOC1">
    <w:name w:val="toc 1"/>
    <w:basedOn w:val="Normal"/>
    <w:next w:val="Normal"/>
    <w:pPr>
      <w:tabs>
        <w:tab w:val="clear" w:pos="720"/>
        <w:tab w:val="decimal" w:pos="9000" w:leader="dot"/>
      </w:tabs>
      <w:ind w:hanging="720" w:start="720" w:end="0"/>
    </w:pPr>
    <w:rPr/>
  </w:style>
  <w:style w:type="paragraph" w:styleId="TOC2">
    <w:name w:val="toc 2"/>
    <w:basedOn w:val="Normal"/>
    <w:next w:val="Normal"/>
    <w:pPr>
      <w:tabs>
        <w:tab w:val="left" w:pos="720" w:leader="none"/>
        <w:tab w:val="decimal" w:pos="9000" w:leader="dot"/>
      </w:tabs>
      <w:ind w:hanging="720" w:start="1440" w:end="85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both"/>
    </w:pPr>
    <w:rPr>
      <w:rFonts w:ascii="Times New Roman" w:hAnsi="Times New Roman" w:eastAsia="Times New Roman" w:cs="Times New Roman"/>
      <w:color w:val="auto"/>
      <w:sz w:val="16"/>
      <w:szCs w:val="16"/>
      <w:lang w:val="en-GB" w:eastAsia="zh-CN" w:bidi="hi-IN"/>
    </w:rPr>
  </w:style>
  <w:style w:type="paragraph" w:styleId="ListBullet">
    <w:name w:val="List Bullet"/>
    <w:basedOn w:val="Normal"/>
    <w:qFormat/>
    <w:pPr>
      <w:numPr>
        <w:ilvl w:val="0"/>
        <w:numId w:val="2"/>
      </w:numPr>
      <w:ind w:hanging="720" w:start="720" w:end="0"/>
    </w:pPr>
    <w:rPr/>
  </w:style>
  <w:style w:type="paragraph" w:styleId="Department">
    <w:name w:val="Department"/>
    <w:basedOn w:val="Normal"/>
    <w:qFormat/>
    <w:pPr>
      <w:jc w:val="start"/>
    </w:pPr>
    <w:rPr>
      <w:rFonts w:ascii="Arial" w:hAnsi="Arial" w:eastAsia="Arial" w:cs="Arial"/>
      <w:sz w:val="20"/>
      <w:szCs w:val="20"/>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2001-04-19T20:23:00Z</dcterms:created>
  <dc:creator>Allen &amp; Overy</dc:creator>
  <dc:description/>
  <dc:language>en-CA</dc:language>
  <cp:lastModifiedBy>nflores</cp:lastModifiedBy>
  <cp:lastPrinted>1997-01-29T14:08:00Z</cp:lastPrinted>
  <dcterms:modified xsi:type="dcterms:W3CDTF">2001-04-19T21:04:00Z</dcterms:modified>
  <cp:revision>5</cp:revision>
  <dc:subject/>
  <dc:title>Our Ref:_32802-00002/SAH/AH</dc:title>
</cp:coreProperties>
</file>