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18" w:type="dxa"/>
        <w:tblLayout w:type="fixed"/>
        <w:tblCellMar>
          <w:top w:w="0" w:type="dxa"/>
          <w:start w:w="108" w:type="dxa"/>
          <w:bottom w:w="0" w:type="dxa"/>
          <w:end w:w="108" w:type="dxa"/>
        </w:tblCellMar>
      </w:tblPr>
      <w:tblGrid>
        <w:gridCol w:w="1890"/>
        <w:gridCol w:w="7650"/>
      </w:tblGrid>
      <w:tr>
        <w:trPr/>
        <w:tc>
          <w:tcPr>
            <w:tcW w:w="1890" w:type="dxa"/>
            <w:tcBorders/>
          </w:tcPr>
          <w:p>
            <w:pPr>
              <w:pStyle w:val="Normal"/>
              <w:spacing w:before="20" w:after="0"/>
              <w:rPr>
                <w:sz w:val="20"/>
              </w:rPr>
            </w:pPr>
            <w:r>
              <w:rPr>
                <w:sz w:val="20"/>
              </w:rPr>
              <w:drawing>
                <wp:inline distT="0" distB="0" distL="0" distR="0">
                  <wp:extent cx="837565" cy="831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37565" cy="831850"/>
                          </a:xfrm>
                          <a:prstGeom prst="rect">
                            <a:avLst/>
                          </a:prstGeom>
                          <a:noFill/>
                        </pic:spPr>
                      </pic:pic>
                    </a:graphicData>
                  </a:graphic>
                </wp:inline>
              </w:drawing>
            </w:r>
          </w:p>
        </w:tc>
        <w:tc>
          <w:tcPr>
            <w:tcW w:w="7650" w:type="dxa"/>
            <w:tcBorders/>
          </w:tcPr>
          <w:p>
            <w:pPr>
              <w:pStyle w:val="Normal"/>
              <w:snapToGrid w:val="false"/>
              <w:rPr>
                <w:b/>
                <w:sz w:val="28"/>
              </w:rPr>
            </w:pPr>
            <w:r>
              <w:rPr>
                <w:b/>
                <w:sz w:val="28"/>
              </w:rPr>
            </w:r>
          </w:p>
          <w:p>
            <w:pPr>
              <w:pStyle w:val="Normal"/>
              <w:rPr>
                <w:b/>
                <w:sz w:val="28"/>
              </w:rPr>
            </w:pPr>
            <w:r>
              <w:rPr>
                <w:b/>
                <w:sz w:val="28"/>
              </w:rPr>
              <w:t xml:space="preserve">        </w:t>
            </w:r>
            <w:r>
              <w:rPr>
                <w:b/>
                <w:sz w:val="28"/>
              </w:rPr>
              <w:t>INTEROFFICE MEMORANDUM</w:t>
            </w:r>
          </w:p>
          <w:p>
            <w:pPr>
              <w:pStyle w:val="Normal"/>
              <w:rPr>
                <w:b/>
                <w:sz w:val="36"/>
              </w:rPr>
            </w:pPr>
            <w:r>
              <w:rPr>
                <w:b/>
                <w:sz w:val="36"/>
              </w:rPr>
            </w:r>
          </w:p>
          <w:p>
            <w:pPr>
              <w:pStyle w:val="Normal"/>
              <w:rPr>
                <w:b/>
                <w:sz w:val="36"/>
              </w:rPr>
            </w:pPr>
            <w:r>
              <w:rPr>
                <w:b/>
                <w:sz w:val="36"/>
              </w:rPr>
            </w:r>
          </w:p>
        </w:tc>
      </w:tr>
    </w:tbl>
    <w:p>
      <w:pPr>
        <w:pStyle w:val="Normal"/>
        <w:pBdr>
          <w:top w:val="double" w:sz="12" w:space="1" w:color="000000"/>
        </w:pBdr>
        <w:spacing w:before="120" w:after="0"/>
        <w:rPr>
          <w:b/>
          <w:sz w:val="28"/>
        </w:rPr>
      </w:pPr>
      <w:r>
        <w:rPr>
          <w:b/>
          <w:sz w:val="28"/>
        </w:rPr>
      </w:r>
    </w:p>
    <w:p>
      <w:pPr>
        <w:pStyle w:val="Normal"/>
        <w:pBdr>
          <w:top w:val="double" w:sz="12" w:space="1" w:color="000000"/>
        </w:pBdr>
        <w:jc w:val="center"/>
        <w:rPr>
          <w:b/>
          <w:sz w:val="28"/>
        </w:rPr>
      </w:pPr>
      <w:r>
        <w:rPr>
          <w:b/>
          <w:sz w:val="28"/>
        </w:rPr>
      </w:r>
    </w:p>
    <w:tbl>
      <w:tblPr>
        <w:tblW w:w="9738" w:type="dxa"/>
        <w:jc w:val="start"/>
        <w:tblInd w:w="0" w:type="dxa"/>
        <w:tblLayout w:type="fixed"/>
        <w:tblCellMar>
          <w:top w:w="0" w:type="dxa"/>
          <w:start w:w="108" w:type="dxa"/>
          <w:bottom w:w="0" w:type="dxa"/>
          <w:end w:w="108" w:type="dxa"/>
        </w:tblCellMar>
      </w:tblPr>
      <w:tblGrid>
        <w:gridCol w:w="1728"/>
        <w:gridCol w:w="4770"/>
        <w:gridCol w:w="1440"/>
        <w:gridCol w:w="1800"/>
      </w:tblGrid>
      <w:tr>
        <w:trPr/>
        <w:tc>
          <w:tcPr>
            <w:tcW w:w="1728" w:type="dxa"/>
            <w:tcBorders/>
          </w:tcPr>
          <w:p>
            <w:pPr>
              <w:pStyle w:val="Normal"/>
              <w:spacing w:before="0" w:after="120"/>
              <w:jc w:val="both"/>
              <w:rPr>
                <w:b/>
              </w:rPr>
            </w:pPr>
            <w:r>
              <w:rPr>
                <w:b/>
              </w:rPr>
              <w:t>TO:</w:t>
            </w:r>
          </w:p>
        </w:tc>
        <w:tc>
          <w:tcPr>
            <w:tcW w:w="4770" w:type="dxa"/>
            <w:tcBorders/>
          </w:tcPr>
          <w:p>
            <w:pPr>
              <w:pStyle w:val="Normal"/>
              <w:jc w:val="both"/>
              <w:rPr/>
            </w:pPr>
            <w:r>
              <w:rPr/>
              <w:t>The Attached Distribution List</w:t>
            </w:r>
          </w:p>
        </w:tc>
        <w:tc>
          <w:tcPr>
            <w:tcW w:w="1440" w:type="dxa"/>
            <w:tcBorders/>
          </w:tcPr>
          <w:p>
            <w:pPr>
              <w:pStyle w:val="Normal"/>
              <w:spacing w:before="0" w:after="120"/>
              <w:jc w:val="both"/>
              <w:rPr/>
            </w:pPr>
            <w:r>
              <w:rPr/>
              <w:t>DATE:</w:t>
            </w:r>
          </w:p>
        </w:tc>
        <w:tc>
          <w:tcPr>
            <w:tcW w:w="1800" w:type="dxa"/>
            <w:tcBorders/>
          </w:tcPr>
          <w:p>
            <w:pPr>
              <w:pStyle w:val="Normal"/>
              <w:spacing w:before="0" w:after="120"/>
              <w:jc w:val="both"/>
              <w:rPr/>
            </w:pPr>
            <w:r>
              <w:rPr/>
              <w:t>May 3, 2000</w:t>
            </w:r>
          </w:p>
        </w:tc>
      </w:tr>
      <w:tr>
        <w:trPr/>
        <w:tc>
          <w:tcPr>
            <w:tcW w:w="1728" w:type="dxa"/>
            <w:tcBorders/>
          </w:tcPr>
          <w:p>
            <w:pPr>
              <w:pStyle w:val="Normal"/>
              <w:spacing w:before="120" w:after="240"/>
              <w:jc w:val="both"/>
              <w:rPr>
                <w:b/>
              </w:rPr>
            </w:pPr>
            <w:r>
              <w:rPr>
                <w:b/>
              </w:rPr>
              <w:t>FROM:</w:t>
            </w:r>
          </w:p>
        </w:tc>
        <w:tc>
          <w:tcPr>
            <w:tcW w:w="4770" w:type="dxa"/>
            <w:tcBorders/>
          </w:tcPr>
          <w:p>
            <w:pPr>
              <w:pStyle w:val="Normal"/>
              <w:spacing w:before="120" w:after="0"/>
              <w:jc w:val="both"/>
              <w:rPr/>
            </w:pPr>
            <w:r>
              <w:rPr/>
              <w:t>Stuart R. Zisman</w:t>
            </w:r>
          </w:p>
        </w:tc>
        <w:tc>
          <w:tcPr>
            <w:tcW w:w="1440" w:type="dxa"/>
            <w:tcBorders/>
          </w:tcPr>
          <w:p>
            <w:pPr>
              <w:pStyle w:val="Normal"/>
              <w:snapToGrid w:val="false"/>
              <w:spacing w:before="120" w:after="240"/>
              <w:jc w:val="both"/>
              <w:rPr>
                <w:b/>
              </w:rPr>
            </w:pPr>
            <w:r>
              <w:rPr>
                <w:b/>
              </w:rPr>
            </w:r>
          </w:p>
        </w:tc>
        <w:tc>
          <w:tcPr>
            <w:tcW w:w="1800" w:type="dxa"/>
            <w:tcBorders/>
          </w:tcPr>
          <w:p>
            <w:pPr>
              <w:pStyle w:val="Normal"/>
              <w:snapToGrid w:val="false"/>
              <w:spacing w:before="120" w:after="240"/>
              <w:jc w:val="both"/>
              <w:rPr>
                <w:b/>
              </w:rPr>
            </w:pPr>
            <w:r>
              <w:rPr>
                <w:b/>
              </w:rPr>
            </w:r>
          </w:p>
        </w:tc>
      </w:tr>
      <w:tr>
        <w:trPr/>
        <w:tc>
          <w:tcPr>
            <w:tcW w:w="1728" w:type="dxa"/>
            <w:tcBorders/>
          </w:tcPr>
          <w:p>
            <w:pPr>
              <w:pStyle w:val="Normal"/>
              <w:spacing w:before="0" w:after="120"/>
              <w:jc w:val="both"/>
              <w:rPr>
                <w:b/>
              </w:rPr>
            </w:pPr>
            <w:r>
              <w:rPr>
                <w:b/>
              </w:rPr>
              <w:t>SUBJECT:</w:t>
            </w:r>
          </w:p>
        </w:tc>
        <w:tc>
          <w:tcPr>
            <w:tcW w:w="8010" w:type="dxa"/>
            <w:gridSpan w:val="3"/>
            <w:tcBorders/>
          </w:tcPr>
          <w:p>
            <w:pPr>
              <w:pStyle w:val="Normal"/>
              <w:rPr/>
            </w:pPr>
            <w:r>
              <w:rPr/>
              <w:t>Power Purchase Agreement Term Sheet for E2 Project</w:t>
            </w:r>
          </w:p>
        </w:tc>
      </w:tr>
    </w:tbl>
    <w:p>
      <w:pPr>
        <w:pStyle w:val="Normal"/>
        <w:pBdr>
          <w:bottom w:val="double" w:sz="12" w:space="1" w:color="000000"/>
        </w:pBdr>
        <w:rPr>
          <w:sz w:val="12"/>
        </w:rPr>
      </w:pPr>
      <w:r>
        <w:rPr>
          <w:sz w:val="12"/>
        </w:rPr>
      </w:r>
    </w:p>
    <w:p>
      <w:pPr>
        <w:pStyle w:val="Normal"/>
        <w:rPr>
          <w:sz w:val="12"/>
        </w:rPr>
      </w:pPr>
      <w:r>
        <w:rPr>
          <w:sz w:val="12"/>
        </w:rPr>
      </w:r>
    </w:p>
    <w:p>
      <w:pPr>
        <w:pStyle w:val="Normal"/>
        <w:rPr/>
      </w:pPr>
      <w:r>
        <w:rPr/>
        <w:t xml:space="preserve">Attached for your review is a draft Master PPA Term Sheet which is intended to deal only with the most material business terms.  I have reviewed the “Preliminary Terms of Power Purchase Agreement” submitted for each of the Pastoria, LV Cogen and Moore projects.  I understand that each of you modeled your term sheets after the term sheet that was used in Project Everest last year.  Given that each of the term sheets was generally consistent, I have tried (in an effort to simplify matters) to consolidate all of the PPA term sheets into a single master term sheet but have the following questions/thoughts: </w:t>
      </w:r>
    </w:p>
    <w:p>
      <w:pPr>
        <w:pStyle w:val="Normal"/>
        <w:rPr/>
      </w:pPr>
      <w:r>
        <w:rPr/>
      </w:r>
    </w:p>
    <w:p>
      <w:pPr>
        <w:pStyle w:val="Normal"/>
        <w:rPr>
          <w:b/>
          <w:u w:val="single"/>
        </w:rPr>
      </w:pPr>
      <w:r>
        <w:rPr>
          <w:b/>
          <w:u w:val="single"/>
        </w:rPr>
        <w:t>Pastoria</w:t>
      </w:r>
    </w:p>
    <w:p>
      <w:pPr>
        <w:pStyle w:val="Normal"/>
        <w:rPr>
          <w:b/>
          <w:u w:val="single"/>
        </w:rPr>
      </w:pPr>
      <w:r>
        <w:rPr>
          <w:b/>
          <w:u w:val="single"/>
        </w:rPr>
      </w:r>
    </w:p>
    <w:p>
      <w:pPr>
        <w:pStyle w:val="Normal"/>
        <w:rPr/>
      </w:pPr>
      <w:r>
        <w:rPr/>
        <w:t>The term sheet references a Marketing Fee for marketing electricity through the market index.  This provision may be a vestige from Project Everest that was left in the form that was provided to you.  If not, under what circumstances would Enron market the electricity to others?  Is this deal point a material one?</w:t>
      </w:r>
    </w:p>
    <w:p>
      <w:pPr>
        <w:pStyle w:val="Normal"/>
        <w:rPr/>
      </w:pPr>
      <w:r>
        <w:rPr/>
      </w:r>
    </w:p>
    <w:p>
      <w:pPr>
        <w:pStyle w:val="Normal"/>
        <w:rPr/>
      </w:pPr>
      <w:r>
        <w:rPr/>
        <w:t>The term sheet requires year round availability at 97%.  You will note that the definitions (for the plants in the East) of Summer, Winter and Shoulder Months have been changed slightly.  Do these changes work for your projects?  Also, some changes have been made to required availability and the associated damage multipliers.  Please consider whether these changes would be appropriate for your project as well.  My understanding is that the Pastoria plant (but not the LV Cogen and Moore plants) will be a baseload plant and that therefore year round availability will be critical.  I am sure that we will be asked, however, to provide the seller with certain periods of time in which maintenance can done.  What times/months would be preferable?  Would you prefer to agree to agree on maintenance schedules?</w:t>
      </w:r>
    </w:p>
    <w:p>
      <w:pPr>
        <w:pStyle w:val="Normal"/>
        <w:rPr/>
      </w:pPr>
      <w:r>
        <w:rPr/>
      </w:r>
    </w:p>
    <w:p>
      <w:pPr>
        <w:pStyle w:val="Normal"/>
        <w:rPr/>
      </w:pPr>
      <w:r>
        <w:rPr/>
        <w:t xml:space="preserve">A related issue is that of damage multipliers.  The Summer Months multiplier was originally set at five because the annual demand charges are being paid largely for the right to run the assets in the Summer (i.e. for peaking assets).  For the Pastoria plant, does it still make sense to have a Summer Months damage multiplier of five?  </w:t>
      </w:r>
    </w:p>
    <w:p>
      <w:pPr>
        <w:pStyle w:val="Normal"/>
        <w:rPr/>
      </w:pPr>
      <w:r>
        <w:rPr/>
      </w:r>
    </w:p>
    <w:p>
      <w:pPr>
        <w:pStyle w:val="Normal"/>
        <w:rPr/>
      </w:pPr>
      <w:r>
        <w:rPr/>
        <w:t>The term sheets mentions that “On Peak Hours” shall be from HE 0700 to HE 2200.  Which time zone governs?</w:t>
      </w:r>
    </w:p>
    <w:p>
      <w:pPr>
        <w:pStyle w:val="Normal"/>
        <w:rPr/>
      </w:pPr>
      <w:r>
        <w:rPr/>
      </w:r>
    </w:p>
    <w:p>
      <w:pPr>
        <w:pStyle w:val="Normal"/>
        <w:rPr/>
      </w:pPr>
      <w:r>
        <w:rPr/>
        <w:t>With respect to the “Demand Charge Rate,” is the amount proposed in the term sheet the amount which you would like to start negotiating with or the maximum amount that you are willing to pay?</w:t>
      </w:r>
    </w:p>
    <w:p>
      <w:pPr>
        <w:pStyle w:val="Normal"/>
        <w:rPr/>
      </w:pPr>
      <w:r>
        <w:rPr/>
        <w:t xml:space="preserve">   </w:t>
      </w:r>
    </w:p>
    <w:p>
      <w:pPr>
        <w:pStyle w:val="Normal"/>
        <w:rPr>
          <w:b/>
          <w:u w:val="single"/>
        </w:rPr>
      </w:pPr>
      <w:r>
        <w:rPr>
          <w:b/>
          <w:u w:val="single"/>
        </w:rPr>
        <w:t>Las Vegas Cogeneration</w:t>
      </w:r>
    </w:p>
    <w:p>
      <w:pPr>
        <w:pStyle w:val="Normal"/>
        <w:rPr>
          <w:b/>
          <w:u w:val="single"/>
        </w:rPr>
      </w:pPr>
      <w:r>
        <w:rPr>
          <w:b/>
          <w:u w:val="single"/>
        </w:rPr>
      </w:r>
    </w:p>
    <w:p>
      <w:pPr>
        <w:pStyle w:val="Normal"/>
        <w:rPr/>
      </w:pPr>
      <w:r>
        <w:rPr/>
        <w:t>SAME ISSUES AS RAISED IN PASTORIA – PLEASE RESPOND TO THE QUESTIONS LISTED ABOVE</w:t>
      </w:r>
    </w:p>
    <w:p>
      <w:pPr>
        <w:pStyle w:val="Normal"/>
        <w:rPr/>
      </w:pPr>
      <w:r>
        <w:rPr/>
      </w:r>
    </w:p>
    <w:p>
      <w:pPr>
        <w:pStyle w:val="Normal"/>
        <w:rPr/>
      </w:pPr>
      <w:r>
        <w:rPr/>
        <w:t>Given that this project is to be a peaking facility, please give some consideration to the minimum availability percentage.  Currently the term sheet contemplates 97% year round.</w:t>
      </w:r>
    </w:p>
    <w:p>
      <w:pPr>
        <w:pStyle w:val="Normal"/>
        <w:rPr/>
      </w:pPr>
      <w:r>
        <w:rPr/>
      </w:r>
    </w:p>
    <w:p>
      <w:pPr>
        <w:pStyle w:val="Normal"/>
        <w:rPr>
          <w:b/>
          <w:u w:val="single"/>
        </w:rPr>
      </w:pPr>
      <w:r>
        <w:rPr>
          <w:b/>
          <w:u w:val="single"/>
        </w:rPr>
        <w:t>Moore</w:t>
      </w:r>
    </w:p>
    <w:p>
      <w:pPr>
        <w:pStyle w:val="Normal"/>
        <w:rPr>
          <w:b/>
          <w:u w:val="single"/>
        </w:rPr>
      </w:pPr>
      <w:r>
        <w:rPr>
          <w:b/>
          <w:u w:val="single"/>
        </w:rPr>
      </w:r>
    </w:p>
    <w:p>
      <w:pPr>
        <w:pStyle w:val="Normal"/>
        <w:rPr/>
      </w:pPr>
      <w:r>
        <w:rPr/>
        <w:t>SAME ISSUES AS RAISED IN PASTORIA (PLEASE RESPOND TO THE QUESTIONS LISTED ABOVE) PLUS THE FOLLOWING:</w:t>
      </w:r>
    </w:p>
    <w:p>
      <w:pPr>
        <w:pStyle w:val="Normal"/>
        <w:rPr/>
      </w:pPr>
      <w:r>
        <w:rPr/>
      </w:r>
    </w:p>
    <w:p>
      <w:pPr>
        <w:pStyle w:val="Normal"/>
        <w:rPr/>
      </w:pPr>
      <w:r>
        <w:rPr/>
      </w:r>
    </w:p>
    <w:p>
      <w:pPr>
        <w:pStyle w:val="Normal"/>
        <w:rPr/>
      </w:pPr>
      <w:r>
        <w:rPr/>
        <w:t>Given that this project is to be a peaking facility, please give some consideration to the minimum availability percentage.  Currently the term sheet contemplates 97% year round.</w:t>
      </w:r>
    </w:p>
    <w:p>
      <w:pPr>
        <w:pStyle w:val="Normal"/>
        <w:rPr/>
      </w:pPr>
      <w:r>
        <w:rPr/>
      </w:r>
    </w:p>
    <w:p>
      <w:pPr>
        <w:pStyle w:val="Normal"/>
        <w:rPr/>
      </w:pPr>
      <w:r>
        <w:rPr/>
        <w:t>The term sheet states that the governing laws shall be the laws of the Province of Ontario.  Given the likelihood that our counterparty will be domiciled in the United States, I would imagine that this might be the source of some contention.  Is this a must?  Is it conceivable that a project located in Canada could be governed by U.S. law?</w:t>
      </w:r>
    </w:p>
    <w:p>
      <w:pPr>
        <w:pStyle w:val="Normal"/>
        <w:rPr/>
      </w:pPr>
      <w:r>
        <w:rPr/>
      </w:r>
    </w:p>
    <w:p>
      <w:pPr>
        <w:pStyle w:val="Heading2"/>
        <w:ind w:hanging="0" w:start="0"/>
        <w:rPr/>
      </w:pPr>
      <w:r>
        <w:rPr/>
        <w:t>General</w:t>
      </w:r>
    </w:p>
    <w:p>
      <w:pPr>
        <w:pStyle w:val="Normal"/>
        <w:rPr/>
      </w:pPr>
      <w:r>
        <w:rPr/>
      </w:r>
    </w:p>
    <w:p>
      <w:pPr>
        <w:pStyle w:val="Normal"/>
        <w:rPr/>
      </w:pPr>
      <w:r>
        <w:rPr/>
        <w:t>Once you have had an opportunity to review the attached Master PPA Term Sheet please let me know whether it is acceptable and also your thoughts on the issues raised above with respect to each plant.  Please make every effort to respond on or before the end of business on Monday, May 8, 2000.  Although I would prefer email responses (given the number of participants in this process), I welcome your phone calls  (I can be reached at (713) 853-7493) to discuss any matters that might require some dialog.  Thank you in advance for you assistance and cooperation.</w:t>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/mnt/main-storage/datasets/enron-docs/doc/Memo_Regarding_E2_PPA_s.doc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rPr>
        <w:sz w:val="12"/>
      </w:rPr>
    </w:pPr>
    <w:r>
      <w:rPr>
        <w:sz w:val="12"/>
      </w:rPr>
    </w:r>
  </w:p>
  <w:p>
    <w:pPr>
      <w:pStyle w:val="Footer"/>
      <w:rPr>
        <w:sz w:val="16"/>
      </w:rPr>
    </w:pPr>
    <w:r>
      <w:rPr>
        <w:sz w:val="12"/>
      </w:rPr>
      <w:fldChar w:fldCharType="begin"/>
    </w:r>
    <w:r>
      <w:rPr>
        <w:sz w:val="12"/>
      </w:rPr>
      <w:instrText xml:space="preserve"> FILENAME \p </w:instrText>
    </w:r>
    <w:r>
      <w:rPr>
        <w:sz w:val="12"/>
      </w:rPr>
      <w:fldChar w:fldCharType="separate"/>
    </w:r>
    <w:r>
      <w:rPr>
        <w:sz w:val="12"/>
      </w:rPr>
      <w:t>/mnt/main-storage/datasets/enron-docs/doc/Memo_Regarding_E2_PPA_s.doc</w:t>
    </w:r>
    <w:r>
      <w:rPr>
        <w:sz w:val="12"/>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tabs>
        <w:tab w:val="left" w:pos="720" w:leader="none"/>
        <w:tab w:val="left" w:pos="1440" w:leader="none"/>
      </w:tabs>
      <w:ind w:hanging="1440" w:start="1440" w:end="0"/>
    </w:pPr>
    <w:rPr/>
  </w:style>
  <w:style w:type="paragraph" w:styleId="BodyTextIndent2">
    <w:name w:val="Body Text Indent 2"/>
    <w:basedOn w:val="Normal"/>
    <w:qFormat/>
    <w:pPr>
      <w:ind w:hanging="216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2000-05-01T11:55:00Z</dcterms:created>
  <dc:creator>ECT</dc:creator>
  <dc:description/>
  <dc:language>en-CA</dc:language>
  <cp:lastModifiedBy>szisman</cp:lastModifiedBy>
  <cp:lastPrinted>2000-05-03T14:37:00Z</cp:lastPrinted>
  <dcterms:modified xsi:type="dcterms:W3CDTF">2000-05-03T17:07:00Z</dcterms:modified>
  <cp:revision>10</cp:revision>
  <dc:subject/>
  <dc:title> </dc:title>
</cp:coreProperties>
</file>