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BAKER &amp; TICK, LLC</w:t>
      </w:r>
    </w:p>
    <w:p>
      <w:pPr>
        <w:pStyle w:val="Normal"/>
        <w:jc w:val="center"/>
        <w:rPr>
          <w:b/>
          <w:bCs/>
          <w:sz w:val="28"/>
        </w:rPr>
      </w:pPr>
      <w:r>
        <w:rPr>
          <w:b/>
          <w:bCs/>
          <w:sz w:val="28"/>
        </w:rPr>
      </w:r>
    </w:p>
    <w:p>
      <w:pPr>
        <w:pStyle w:val="Subtitle"/>
        <w:rPr>
          <w:sz w:val="24"/>
        </w:rPr>
      </w:pPr>
      <w:r>
        <w:rPr>
          <w:sz w:val="24"/>
        </w:rPr>
        <w:t>MEMORANDUM</w:t>
      </w:r>
    </w:p>
    <w:p>
      <w:pPr>
        <w:pStyle w:val="Normal"/>
        <w:jc w:val="both"/>
        <w:rPr>
          <w:b/>
          <w:bCs/>
          <w:sz w:val="24"/>
          <w:u w:val="single"/>
        </w:rPr>
      </w:pPr>
      <w:r>
        <w:rPr>
          <w:b/>
          <w:bCs/>
          <w:sz w:val="24"/>
          <w:u w:val="single"/>
        </w:rPr>
      </w:r>
    </w:p>
    <w:p>
      <w:pPr>
        <w:pStyle w:val="Normal"/>
        <w:jc w:val="both"/>
        <w:rPr/>
      </w:pPr>
      <w:r>
        <w:rPr>
          <w:b/>
          <w:bCs/>
        </w:rPr>
        <w:t>TO:</w:t>
        <w:tab/>
        <w:tab/>
      </w:r>
      <w:r>
        <w:rPr/>
        <w:t>Carl Tricoli, Rick Hill</w:t>
      </w:r>
    </w:p>
    <w:p>
      <w:pPr>
        <w:pStyle w:val="Normal"/>
        <w:jc w:val="both"/>
        <w:rPr>
          <w:b/>
          <w:bCs/>
        </w:rPr>
      </w:pPr>
      <w:r>
        <w:rPr>
          <w:b/>
          <w:bCs/>
        </w:rPr>
      </w:r>
    </w:p>
    <w:p>
      <w:pPr>
        <w:pStyle w:val="Normal"/>
        <w:jc w:val="both"/>
        <w:rPr/>
      </w:pPr>
      <w:r>
        <w:rPr>
          <w:b/>
          <w:bCs/>
        </w:rPr>
        <w:t>FROM:</w:t>
        <w:tab/>
      </w:r>
      <w:r>
        <w:rPr/>
        <w:t>Stephen Tick</w:t>
      </w:r>
    </w:p>
    <w:p>
      <w:pPr>
        <w:pStyle w:val="Normal"/>
        <w:jc w:val="both"/>
        <w:rPr/>
      </w:pPr>
      <w:r>
        <w:rPr/>
      </w:r>
    </w:p>
    <w:p>
      <w:pPr>
        <w:pStyle w:val="Normal"/>
        <w:jc w:val="both"/>
        <w:rPr/>
      </w:pPr>
      <w:r>
        <w:rPr>
          <w:b/>
          <w:bCs/>
        </w:rPr>
        <w:t>COPY:</w:t>
        <w:tab/>
      </w:r>
      <w:r>
        <w:rPr/>
        <w:t>Dan Lyons, Richard Sanders</w:t>
      </w:r>
    </w:p>
    <w:p>
      <w:pPr>
        <w:pStyle w:val="Normal"/>
        <w:jc w:val="both"/>
        <w:rPr/>
      </w:pPr>
      <w:r>
        <w:rPr/>
      </w:r>
    </w:p>
    <w:p>
      <w:pPr>
        <w:pStyle w:val="Normal"/>
        <w:jc w:val="both"/>
        <w:rPr/>
      </w:pPr>
      <w:r>
        <w:rPr>
          <w:b/>
          <w:bCs/>
        </w:rPr>
        <w:t>DATE:</w:t>
        <w:tab/>
      </w:r>
      <w:r>
        <w:rPr/>
        <w:t>November 12, 2000</w:t>
      </w:r>
    </w:p>
    <w:p>
      <w:pPr>
        <w:pStyle w:val="Normal"/>
        <w:jc w:val="both"/>
        <w:rPr/>
      </w:pPr>
      <w:r>
        <w:rPr/>
      </w:r>
    </w:p>
    <w:p>
      <w:pPr>
        <w:pStyle w:val="Normal"/>
        <w:jc w:val="both"/>
        <w:rPr/>
      </w:pPr>
      <w:r>
        <w:rPr>
          <w:b/>
          <w:bCs/>
        </w:rPr>
        <w:t>SUBJECT:</w:t>
        <w:tab/>
      </w:r>
      <w:r>
        <w:rPr/>
        <w:t>Follow-Up Items</w:t>
      </w:r>
    </w:p>
    <w:p>
      <w:pPr>
        <w:pStyle w:val="Normal"/>
        <w:jc w:val="both"/>
        <w:rPr/>
      </w:pPr>
      <w:r>
        <w:rPr/>
      </w:r>
    </w:p>
    <w:p>
      <w:pPr>
        <w:pStyle w:val="Normal"/>
        <w:jc w:val="both"/>
        <w:rPr/>
      </w:pPr>
      <w:r>
        <w:rPr/>
        <w:t>Thank you for meeting with me on Saturday. Unfortunately, it took me 8 hours to get home. During that time, I had a chance to read the materials that you gave me and to think about our conversation and what I would like Rick to give me. Here is the list:</w:t>
      </w:r>
    </w:p>
    <w:p>
      <w:pPr>
        <w:pStyle w:val="Normal"/>
        <w:jc w:val="both"/>
        <w:rPr/>
      </w:pPr>
      <w:r>
        <w:rPr/>
      </w:r>
    </w:p>
    <w:p>
      <w:pPr>
        <w:pStyle w:val="Normal"/>
        <w:jc w:val="both"/>
        <w:rPr/>
      </w:pPr>
      <w:r>
        <w:rPr/>
        <w:t>1.</w:t>
        <w:tab/>
        <w:t>I would like to know how much Brazos would have to pay under Section 11.02(i)(a) if:</w:t>
      </w:r>
    </w:p>
    <w:p>
      <w:pPr>
        <w:pStyle w:val="Normal"/>
        <w:numPr>
          <w:ilvl w:val="0"/>
          <w:numId w:val="2"/>
        </w:numPr>
        <w:jc w:val="both"/>
        <w:rPr/>
      </w:pPr>
      <w:r>
        <w:rPr/>
        <w:t>Capacity was reduced to 240 MW and the increase in capacity payments owing to the interest adjustment was removed. To do that, you will need to know the amount of the adjustment and when it expires. I seem to recall that the debt expires prior to the end of the initial term. I may be wrong, but I would appreciate it if you checked that out.</w:t>
      </w:r>
    </w:p>
    <w:p>
      <w:pPr>
        <w:pStyle w:val="Normal"/>
        <w:numPr>
          <w:ilvl w:val="0"/>
          <w:numId w:val="2"/>
        </w:numPr>
        <w:jc w:val="both"/>
        <w:rPr/>
      </w:pPr>
      <w:r>
        <w:rPr/>
        <w:t xml:space="preserve"> </w:t>
      </w:r>
      <w:r>
        <w:rPr/>
        <w:t xml:space="preserve">Capacity was reduced to 245 MW and the increase in capacity payments owing to the interest adjustment was removed. As you may know, the PPA says that the Plant will be nominally rated “at or about 240 MW”. Certainly, 245 MW would fall within the scope of “about”. </w:t>
      </w:r>
    </w:p>
    <w:p>
      <w:pPr>
        <w:pStyle w:val="BodyText"/>
        <w:tabs>
          <w:tab w:val="clear" w:pos="360"/>
        </w:tabs>
        <w:rPr/>
      </w:pPr>
      <w:r>
        <w:rPr/>
        <w:t>My reason for wanting that information is to be in a position to talk with Brazos (and its board) about how your last offer compares with what Brazos would have to pay if none of the increases that it has complained about had taken place. My suspicion is that your concessions exceed those increases.</w:t>
      </w:r>
    </w:p>
    <w:p>
      <w:pPr>
        <w:pStyle w:val="Normal"/>
        <w:ind w:start="1080" w:end="0"/>
        <w:jc w:val="both"/>
        <w:rPr/>
      </w:pPr>
      <w:r>
        <w:rPr/>
      </w:r>
    </w:p>
    <w:p>
      <w:pPr>
        <w:pStyle w:val="BodyText"/>
        <w:tabs>
          <w:tab w:val="clear" w:pos="360"/>
        </w:tabs>
        <w:rPr/>
      </w:pPr>
      <w:r>
        <w:rPr/>
        <w:t>2.</w:t>
        <w:tab/>
        <w:t xml:space="preserve">Closely related to this is whether the offer also has room to address another major issue in this matter, namely that it cost significantly less to build the plant than originally contemplated. As we discussed, Brazos did not negotiate for the upside on the cost to build the project, when, in truth, it had the downside (assuming it wanted to proceed with the project). This was one of Brazos’ BIG mistakes in this matter. Nevertheless, Section 11.01(i)(a) contemplates that a component of the purchase price is an amount sufficient to pay off the Project Debt as well as any surcharges associated therewith. In negotiating 11.02, Brazos undoubtedly thought that the project debt would be higher than it was. If there is sufficient room in the proposal to address that, I would also like to drive that point home to Brazos and its board. </w:t>
      </w:r>
    </w:p>
    <w:p>
      <w:pPr>
        <w:pStyle w:val="Normal"/>
        <w:jc w:val="both"/>
        <w:rPr/>
      </w:pPr>
      <w:r>
        <w:rPr/>
      </w:r>
    </w:p>
    <w:p>
      <w:pPr>
        <w:pStyle w:val="Normal"/>
        <w:jc w:val="both"/>
        <w:rPr/>
      </w:pPr>
      <w:r>
        <w:rPr/>
        <w:t>3.</w:t>
        <w:tab/>
        <w:t xml:space="preserve">Next, I would like you to review and complete my analysis of the May offers and your August offer to test Brazos’ theory that the two offers are $50 million apart. That analysis is as follows:  </w:t>
      </w:r>
    </w:p>
    <w:p>
      <w:pPr>
        <w:pStyle w:val="Normal"/>
        <w:jc w:val="both"/>
        <w:rPr/>
      </w:pPr>
      <w:r>
        <w:rPr/>
      </w:r>
    </w:p>
    <w:p>
      <w:pPr>
        <w:pStyle w:val="Normal"/>
        <w:jc w:val="both"/>
        <w:rPr/>
      </w:pPr>
      <w:r>
        <w:rPr/>
      </w:r>
    </w:p>
    <w:p>
      <w:pPr>
        <w:pStyle w:val="Normal"/>
        <w:jc w:val="both"/>
        <w:rPr/>
      </w:pPr>
      <w:r>
        <w:rPr/>
      </w:r>
    </w:p>
    <w:p>
      <w:pPr>
        <w:pStyle w:val="Normal"/>
        <w:numPr>
          <w:ilvl w:val="0"/>
          <w:numId w:val="3"/>
        </w:numPr>
        <w:jc w:val="both"/>
        <w:rPr/>
      </w:pPr>
      <w:r>
        <w:rPr/>
        <w:t>Under the May 12</w:t>
      </w:r>
      <w:r>
        <w:rPr>
          <w:vertAlign w:val="superscript"/>
        </w:rPr>
        <w:t>th</w:t>
      </w:r>
      <w:r>
        <w:rPr/>
        <w:t xml:space="preserve"> offer, Tenaska was to receive the following: (1) $1.3 MM in additional revenue from increasing the capacity to 263 MW for 18 months (item 1a of the offer) (please verify this number); (2)$20 MM in additional energy charges during the ensuing 18 months (item 1(b) of the offer) (please verify this number); (3) $175 MM in cash in 18 months (item 2); (4) $14 MM (plus patronage from CoBank for 2000) from a combination of the reserve accounts, CoBank stock, cash on hand, and the distillation equipment (item 3); (5)$15 MM in cash in 18 months to purchase the site; and (6) an additional 18 months of profit from the asset. The nominal total of the above is $225.3 MM plus the profits that Tenaska would have earned over the 18 month period, plus CoBank patronage for 2000. I would appreciate it if you would calculate the NPV of the offer to Tenaska using one or two reasonable rates. On the assumption that Brazos would have to replace the reserves of $11.8 MM, the cost to Brazos of the offer was $223.1 MM plus the cost of keeping the PPA in place for an additional 18 months.</w:t>
      </w:r>
    </w:p>
    <w:p>
      <w:pPr>
        <w:pStyle w:val="Normal"/>
        <w:numPr>
          <w:ilvl w:val="0"/>
          <w:numId w:val="3"/>
        </w:numPr>
        <w:jc w:val="both"/>
        <w:rPr/>
      </w:pPr>
      <w:r>
        <w:rPr/>
        <w:t>Under the May 31</w:t>
      </w:r>
      <w:r>
        <w:rPr>
          <w:vertAlign w:val="superscript"/>
        </w:rPr>
        <w:t>st</w:t>
      </w:r>
      <w:r>
        <w:rPr/>
        <w:t xml:space="preserve"> offer, Tenaska was to receive the following: (1) approximately $0.5 MM in additional revenue from increasing the capacity to 263 MW (item 1a of the offer) (please verify this number); (2)$0 MM in additional energy charges (item 1(b) of the offer); (3) $189 MM in cash in 6 months (item 2); (4) $14 MM in cash in 6 months from a combination of the reserve accounts, CoBank stock, cash on hand, and the distillation equipment (item 3); (5)$15 MM in cash in 6 months to purchase the site; and (6) an additional 6 months of profit from the asset. The nominal total of the above is $218.5 plus the additional profits for six months. On a nominal basis, that is less than the May 12</w:t>
      </w:r>
      <w:r>
        <w:rPr>
          <w:vertAlign w:val="superscript"/>
        </w:rPr>
        <w:t>th</w:t>
      </w:r>
      <w:r>
        <w:rPr/>
        <w:t xml:space="preserve"> proposal by the sum of $6.8 MM, lost profits for an additional year, and lost patronage from CoBank. However, Tenaska would receive $218 MM 12 months earlier than previously proposed. On the other hand, Brazos would obtain the benefits of plant ownership for an additional 12 months. I would appreciate it if you would calculate the NPV of the offer to both Tenaska and Brazos using, in the case of Tenaska, the rates used above, and, in the case of Brazos, a rate that approximates Brazos’ cost of funds. Please assume that Brazos would have to replace the reserves of $11.8 MM. On that assumption, the cost to Brazos of the offer was: (1) $216.3 MM plus the cost of keeping the PPA in place for an additional 6 months; less (2) CoBank patronage for 2000 and the net benefits of ownership 12 months early. </w:t>
      </w:r>
    </w:p>
    <w:p>
      <w:pPr>
        <w:pStyle w:val="Normal"/>
        <w:numPr>
          <w:ilvl w:val="0"/>
          <w:numId w:val="3"/>
        </w:numPr>
        <w:jc w:val="both"/>
        <w:rPr/>
      </w:pPr>
      <w:r>
        <w:rPr/>
        <w:t>Under the Enron August offer, Enron was to receive $259.6 million. However, Brazos was to keep the Reserves, the CoBank stock, the distillation equipment, and CoBank patronage for 2000 (assume $14 MM). The nominal total is $245.6 MM. Under the proposal, Enron would receive the funds 6 months earlier than the last proposal, but Brazos would have the net benefit of plant ownership for that period as well. I would appreciate it if you would calculate the NPV of the offer to Brazos using a rate that approximates Brazos’ cost of funds. Assume that the reserves stay in place and that Brazos must borrow the entire purchase price. Please let me know if you are adding anything to the savings that Tenaska missed (such as the elimination of the 50 cent option during the renewal term).</w:t>
      </w:r>
    </w:p>
    <w:p>
      <w:pPr>
        <w:pStyle w:val="Normal"/>
        <w:ind w:start="360" w:end="0"/>
        <w:jc w:val="both"/>
        <w:rPr/>
      </w:pPr>
      <w:r>
        <w:rPr/>
      </w:r>
    </w:p>
    <w:p>
      <w:pPr>
        <w:pStyle w:val="Normal"/>
        <w:ind w:start="360" w:end="0"/>
        <w:jc w:val="both"/>
        <w:rPr/>
      </w:pPr>
      <w:r>
        <w:rPr/>
        <w:t xml:space="preserve">Although I realize that the difference is not relevant to where we are, I need to know (as do others) if the statements being made by Brazos’ management are incorrect and to be able to address the implications of that. </w:t>
      </w:r>
    </w:p>
    <w:p>
      <w:pPr>
        <w:pStyle w:val="Normal"/>
        <w:ind w:start="360" w:end="0"/>
        <w:jc w:val="both"/>
        <w:rPr/>
      </w:pPr>
      <w:r>
        <w:rPr/>
      </w:r>
    </w:p>
    <w:p>
      <w:pPr>
        <w:pStyle w:val="Normal"/>
        <w:ind w:start="360" w:end="0"/>
        <w:jc w:val="both"/>
        <w:rPr/>
      </w:pPr>
      <w:r>
        <w:rPr/>
        <w:t>4.  Next, I would like to have a recalculation of the savings associated with the August offer that includes all of the benefits not previously included (i.e. increasing the capacity to 263 MW). I don’t think that it needs to include the benefits of a second plant at the site, but eventually I would like to have that, including a statement of the savings that Brazos would realize over the prices set forth in the amendment to the PPA. That should be significant.</w:t>
      </w:r>
    </w:p>
    <w:p>
      <w:pPr>
        <w:pStyle w:val="Normal"/>
        <w:ind w:start="360" w:end="0"/>
        <w:jc w:val="both"/>
        <w:rPr/>
      </w:pPr>
      <w:r>
        <w:rPr/>
      </w:r>
    </w:p>
    <w:p>
      <w:pPr>
        <w:pStyle w:val="Normal"/>
        <w:ind w:start="360" w:end="0"/>
        <w:jc w:val="both"/>
        <w:rPr/>
      </w:pPr>
      <w:r>
        <w:rPr/>
        <w:t xml:space="preserve">If you have any questions about the above, feel free to call me on Monday. </w:t>
      </w:r>
    </w:p>
    <w:p>
      <w:pPr>
        <w:pStyle w:val="Normal"/>
        <w:ind w:start="360" w:end="0"/>
        <w:jc w:val="both"/>
        <w:rPr/>
      </w:pPr>
      <w:r>
        <w:rPr/>
      </w:r>
    </w:p>
    <w:p>
      <w:pPr>
        <w:pStyle w:val="Normal"/>
        <w:ind w:start="360" w:end="0"/>
        <w:jc w:val="both"/>
        <w:rPr/>
      </w:pPr>
      <w:r>
        <w:rPr/>
        <w:t xml:space="preserve">Thanks again for meeting me on Saturday. I will let you know if it make sense for us to get together before the meeting next week. At a minimum, however, I would like to talk with you by phone. </w:t>
      </w:r>
    </w:p>
    <w:p>
      <w:pPr>
        <w:pStyle w:val="Normal"/>
        <w:ind w:start="360" w:end="0"/>
        <w:jc w:val="both"/>
        <w:rPr/>
      </w:pPr>
      <w:r>
        <w:rPr/>
      </w:r>
    </w:p>
    <w:p>
      <w:pPr>
        <w:pStyle w:val="Normal"/>
        <w:ind w:start="360" w:end="0"/>
        <w:jc w:val="both"/>
        <w:rPr/>
      </w:pPr>
      <w:r>
        <w:rPr/>
        <w:t>Thanks again.</w:t>
      </w:r>
    </w:p>
    <w:sectPr>
      <w:type w:val="nextPage"/>
      <w:pgSz w:w="12240" w:h="15840"/>
      <w:pgMar w:left="1800" w:right="1800" w:gutter="0" w:header="0" w:top="72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2"/>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1">
    <w:name w:val="WW8Num7z1"/>
    <w:qFormat/>
    <w:rPr>
      <w:rFonts w:ascii="Symbol" w:hAnsi="Symbol" w:cs="Symbol"/>
    </w:rPr>
  </w:style>
  <w:style w:type="character" w:styleId="WW8Num8z0">
    <w:name w:val="WW8Num8z0"/>
    <w:qFormat/>
    <w:rPr/>
  </w:style>
  <w:style w:type="character" w:styleId="WW8Num9z0">
    <w:name w:val="WW8Num9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2z1">
    <w:name w:val="WW8Num12z1"/>
    <w:qFormat/>
    <w:rPr>
      <w:rFonts w:ascii="Symbol" w:hAnsi="Symbol" w:cs="Symbol"/>
    </w:rPr>
  </w:style>
  <w:style w:type="character" w:styleId="WW8Num13z0">
    <w:name w:val="WW8Num13z0"/>
    <w:qFormat/>
    <w:rPr/>
  </w:style>
  <w:style w:type="character" w:styleId="WW8Num14z1">
    <w:name w:val="WW8Num14z1"/>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bCs/>
      <w:sz w:val="28"/>
    </w:rPr>
  </w:style>
  <w:style w:type="paragraph" w:styleId="BodyText">
    <w:name w:val="Body Text"/>
    <w:basedOn w:val="Normal"/>
    <w:pPr>
      <w:tabs>
        <w:tab w:val="clear" w:pos="720"/>
        <w:tab w:val="left" w:pos="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both"/>
    </w:pPr>
    <w:rPr>
      <w:b/>
      <w:bCs/>
      <w:sz w:val="22"/>
      <w:u w:val="single"/>
    </w:rPr>
  </w:style>
  <w:style w:type="paragraph" w:styleId="FootnoteText">
    <w:name w:val="footnote text"/>
    <w:basedOn w:val="Normal"/>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2000-11-12T14:24:00Z</dcterms:created>
  <dc:creator>Stephen D. Tick</dc:creator>
  <dc:description/>
  <dc:language>en-CA</dc:language>
  <cp:lastModifiedBy>Stephen D. Tick</cp:lastModifiedBy>
  <cp:lastPrinted>2000-11-13T08:30:00Z</cp:lastPrinted>
  <dcterms:modified xsi:type="dcterms:W3CDTF">2000-11-13T13:32:00Z</dcterms:modified>
  <cp:revision>21</cp:revision>
  <dc:subject/>
  <dc:title>BAKER &amp; TICK, LLC</dc:title>
</cp:coreProperties>
</file>