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09" w:end="708"/>
        <w:rPr>
          <w:sz w:val="24"/>
          <w:lang w:val="es-CL"/>
        </w:rPr>
      </w:pPr>
      <w:r>
        <w:rPr>
          <w:sz w:val="24"/>
          <w:lang w:val="es-CL"/>
        </w:rPr>
      </w:r>
    </w:p>
    <w:p>
      <w:pPr>
        <w:pStyle w:val="Normal"/>
        <w:ind w:start="709" w:end="708"/>
        <w:rPr>
          <w:sz w:val="24"/>
          <w:lang w:val="es-CL"/>
        </w:rPr>
      </w:pPr>
      <w:r>
        <w:rPr>
          <w:sz w:val="24"/>
          <w:lang w:val="es-CL"/>
        </w:rPr>
      </w:r>
    </w:p>
    <w:p>
      <w:pPr>
        <w:pStyle w:val="BodyTextIndent"/>
        <w:spacing w:lineRule="auto" w:line="360"/>
        <w:jc w:val="both"/>
        <w:rPr>
          <w:sz w:val="24"/>
        </w:rPr>
      </w:pPr>
      <w:r>
        <w:rPr>
          <w:sz w:val="24"/>
        </w:rPr>
        <w:tab/>
        <w:tab/>
        <w:tab/>
        <w:tab/>
        <w:tab/>
        <w:t>MEMORANDUM</w:t>
      </w:r>
    </w:p>
    <w:p>
      <w:pPr>
        <w:pStyle w:val="BodyTextIndent"/>
        <w:spacing w:lineRule="auto" w:line="360"/>
        <w:jc w:val="both"/>
        <w:rPr>
          <w:sz w:val="24"/>
        </w:rPr>
      </w:pPr>
      <w:r>
        <w:rPr>
          <w:sz w:val="24"/>
        </w:rPr>
      </w:r>
    </w:p>
    <w:p>
      <w:pPr>
        <w:pStyle w:val="BodyTextIndent"/>
        <w:spacing w:lineRule="auto" w:line="360"/>
        <w:jc w:val="both"/>
        <w:rPr>
          <w:sz w:val="24"/>
        </w:rPr>
      </w:pPr>
      <w:r>
        <w:rPr>
          <w:sz w:val="24"/>
        </w:rPr>
        <w:t>TO</w:t>
        <w:tab/>
        <w:t>:</w:t>
        <w:tab/>
        <w:t>Brent Hendry</w:t>
      </w:r>
    </w:p>
    <w:p>
      <w:pPr>
        <w:pStyle w:val="BodyTextIndent"/>
        <w:spacing w:lineRule="auto" w:line="360"/>
        <w:jc w:val="both"/>
        <w:rPr>
          <w:sz w:val="24"/>
        </w:rPr>
      </w:pPr>
      <w:r>
        <w:rPr>
          <w:sz w:val="24"/>
        </w:rPr>
        <w:t>FROM</w:t>
        <w:tab/>
        <w:t>:</w:t>
        <w:tab/>
        <w:t>Marcelo Armas</w:t>
      </w:r>
    </w:p>
    <w:p>
      <w:pPr>
        <w:pStyle w:val="BodyTextIndent"/>
        <w:spacing w:lineRule="auto" w:line="360"/>
        <w:jc w:val="both"/>
        <w:rPr>
          <w:sz w:val="24"/>
        </w:rPr>
      </w:pPr>
      <w:r>
        <w:rPr>
          <w:sz w:val="24"/>
        </w:rPr>
        <w:t>DATE</w:t>
        <w:tab/>
        <w:t>:</w:t>
        <w:tab/>
        <w:t>August 22, 2000</w:t>
      </w:r>
    </w:p>
    <w:p>
      <w:pPr>
        <w:pStyle w:val="BodyTextIndent"/>
        <w:spacing w:lineRule="auto" w:line="360"/>
        <w:jc w:val="both"/>
        <w:rPr>
          <w:sz w:val="24"/>
        </w:rPr>
      </w:pPr>
      <w:r>
        <w:rPr>
          <w:sz w:val="24"/>
        </w:rPr>
      </w:r>
    </w:p>
    <w:p>
      <w:pPr>
        <w:pStyle w:val="BodyTextIndent"/>
        <w:spacing w:lineRule="auto" w:line="360"/>
        <w:jc w:val="both"/>
        <w:rPr>
          <w:sz w:val="24"/>
        </w:rPr>
      </w:pPr>
      <w:r>
        <w:rPr>
          <w:sz w:val="24"/>
        </w:rPr>
        <w:t>Dear Brent:</w:t>
      </w:r>
    </w:p>
    <w:p>
      <w:pPr>
        <w:pStyle w:val="BodyTextIndent"/>
        <w:spacing w:lineRule="auto" w:line="360"/>
        <w:jc w:val="both"/>
        <w:rPr>
          <w:sz w:val="24"/>
        </w:rPr>
      </w:pPr>
      <w:r>
        <w:rPr>
          <w:sz w:val="24"/>
        </w:rPr>
      </w:r>
    </w:p>
    <w:p>
      <w:pPr>
        <w:pStyle w:val="BodyTextIndent"/>
        <w:tabs>
          <w:tab w:val="clear" w:pos="708"/>
          <w:tab w:val="left" w:pos="1418" w:leader="none"/>
        </w:tabs>
        <w:spacing w:lineRule="auto" w:line="360"/>
        <w:jc w:val="both"/>
        <w:rPr>
          <w:sz w:val="24"/>
        </w:rPr>
      </w:pPr>
      <w:r>
        <w:rPr>
          <w:sz w:val="24"/>
        </w:rPr>
        <w:t xml:space="preserve">The following are our responses to your legal survey on internet trading of derivatives: </w:t>
      </w:r>
    </w:p>
    <w:p>
      <w:pPr>
        <w:pStyle w:val="Normal"/>
        <w:tabs>
          <w:tab w:val="clear" w:pos="708"/>
          <w:tab w:val="left" w:pos="567" w:leader="none"/>
          <w:tab w:val="left" w:pos="1418" w:leader="none"/>
        </w:tabs>
        <w:ind w:start="567" w:end="0"/>
        <w:jc w:val="both"/>
        <w:rPr>
          <w:b/>
          <w:sz w:val="24"/>
          <w:lang w:val="en-US"/>
        </w:rPr>
      </w:pPr>
      <w:r>
        <w:rPr>
          <w:b/>
          <w:sz w:val="24"/>
          <w:lang w:val="en-US"/>
        </w:rPr>
        <w:t>1. Choice of law</w:t>
      </w:r>
    </w:p>
    <w:p>
      <w:pPr>
        <w:pStyle w:val="Normal"/>
        <w:tabs>
          <w:tab w:val="clear" w:pos="708"/>
          <w:tab w:val="left" w:pos="1418" w:leader="none"/>
        </w:tabs>
        <w:ind w:start="567" w:end="0"/>
        <w:jc w:val="both"/>
        <w:rPr>
          <w:b/>
          <w:sz w:val="24"/>
          <w:lang w:val="en-US"/>
        </w:rPr>
      </w:pPr>
      <w:r>
        <w:rPr>
          <w:b/>
          <w:sz w:val="24"/>
          <w:lang w:val="en-US"/>
        </w:rPr>
      </w:r>
    </w:p>
    <w:p>
      <w:pPr>
        <w:pStyle w:val="Normal"/>
        <w:tabs>
          <w:tab w:val="clear" w:pos="708"/>
          <w:tab w:val="left" w:pos="567" w:leader="none"/>
          <w:tab w:val="left" w:pos="1418" w:leader="none"/>
        </w:tabs>
        <w:ind w:start="567" w:end="0"/>
        <w:jc w:val="both"/>
        <w:rPr>
          <w:lang w:val="en-US"/>
        </w:rPr>
      </w:pPr>
      <w:r>
        <w:rPr>
          <w:b/>
          <w:sz w:val="24"/>
          <w:lang w:val="en-US"/>
        </w:rPr>
        <w:t xml:space="preserve">1.1 </w:t>
        <w:tab/>
        <w:t>Generally, the terms and conditions of the Access Agreements and GTC’s will be governed by New York law. There may be exceptions to this where existing terms and conditions are governed by a different law. Are there any overriding laws in your jurisdiction, which would impose a different governing law? If not, can we generally assume that New York law will govern enforcement and formation of these contracts and any trades with counterparties in your jurisdiction?</w:t>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tabs>
          <w:tab w:val="clear" w:pos="708"/>
          <w:tab w:val="left" w:pos="567" w:leader="none"/>
          <w:tab w:val="left" w:pos="1418" w:leader="none"/>
        </w:tabs>
        <w:ind w:start="567" w:end="0"/>
        <w:jc w:val="both"/>
        <w:rPr/>
      </w:pPr>
      <w:r>
        <w:rPr>
          <w:sz w:val="24"/>
          <w:lang w:val="en-US"/>
        </w:rPr>
        <w:t>Choice of law provisions are valid and binding under Chilean law, provided there is a connection between one of the parties and the law chosen. There is no provision of Chilean law which would override such choice of law; however, if a judgement</w:t>
      </w:r>
      <w:r>
        <w:rPr>
          <w:sz w:val="24"/>
        </w:rPr>
        <w:t xml:space="preserve"> is obtained from a foreign court, the enforcement of such judgement will have to be requested to the Chilean Supreme </w:t>
      </w:r>
      <w:r>
        <w:rPr>
          <w:sz w:val="24"/>
          <w:lang w:val="en-US"/>
        </w:rPr>
        <w:t>Court. A judgement will be recognized by the Supreme Court of Chile without any retrial or re-examination of the merits of the original action under the following circumstances:</w:t>
      </w:r>
    </w:p>
    <w:p>
      <w:pPr>
        <w:pStyle w:val="Normal"/>
        <w:tabs>
          <w:tab w:val="clear" w:pos="708"/>
          <w:tab w:val="left" w:pos="567" w:leader="none"/>
          <w:tab w:val="left" w:pos="1418" w:leader="none"/>
        </w:tabs>
        <w:ind w:start="567" w:end="0"/>
        <w:jc w:val="both"/>
        <w:rPr>
          <w:lang w:val="en-US"/>
        </w:rPr>
      </w:pPr>
      <w:r>
        <w:rPr>
          <w:lang w:val="en-US"/>
        </w:rPr>
        <w:tab/>
      </w:r>
    </w:p>
    <w:p>
      <w:pPr>
        <w:pStyle w:val="Paragraph2"/>
        <w:widowControl/>
        <w:numPr>
          <w:ilvl w:val="3"/>
          <w:numId w:val="2"/>
        </w:numPr>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567" w:end="0"/>
        <w:jc w:val="both"/>
        <w:rPr/>
      </w:pPr>
      <w:r>
        <w:rPr/>
        <w:tab/>
        <w:t>if there is a treaty between Chile and the country where the judgment was rendered with respect to the enforcement of foreign judgments, the provisions of said treaty shall be applied;</w:t>
        <w:tab/>
      </w:r>
    </w:p>
    <w:p>
      <w:pPr>
        <w:pStyle w:val="Normal"/>
        <w:tabs>
          <w:tab w:val="clear" w:pos="708"/>
          <w:tab w:val="left" w:pos="-1440" w:leader="none"/>
          <w:tab w:val="left" w:pos="-720" w:leader="none"/>
          <w:tab w:val="left" w:pos="0" w:leader="none"/>
          <w:tab w:val="left" w:pos="1134" w:leader="none"/>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67" w:end="0"/>
        <w:jc w:val="both"/>
        <w:rPr>
          <w:sz w:val="24"/>
          <w:lang w:val="en-US"/>
        </w:rPr>
      </w:pPr>
      <w:r>
        <w:rPr>
          <w:sz w:val="24"/>
          <w:lang w:val="en-US"/>
        </w:rPr>
      </w:r>
    </w:p>
    <w:p>
      <w:pPr>
        <w:pStyle w:val="Paragraph2"/>
        <w:widowControl/>
        <w:numPr>
          <w:ilvl w:val="3"/>
          <w:numId w:val="2"/>
        </w:numPr>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567" w:end="0"/>
        <w:jc w:val="both"/>
        <w:rPr/>
      </w:pPr>
      <w:r>
        <w:rPr/>
        <w:tab/>
        <w:t>if there shall be no treaty, the judgment will be enforced if there is reciprocity as to the enforcement of judgments (i.e., the relevant foreign court would enforce a judgment of a Chilean court under comparable circumstances);</w:t>
      </w:r>
    </w:p>
    <w:p>
      <w:pPr>
        <w:pStyle w:val="Paragraph2"/>
        <w:widowControl/>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567" w:end="0"/>
        <w:jc w:val="both"/>
        <w:rPr/>
      </w:pPr>
      <w:r>
        <w:rPr/>
      </w:r>
    </w:p>
    <w:p>
      <w:pPr>
        <w:pStyle w:val="Paragraph2"/>
        <w:widowControl/>
        <w:numPr>
          <w:ilvl w:val="3"/>
          <w:numId w:val="2"/>
        </w:numPr>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567" w:end="0"/>
        <w:jc w:val="both"/>
        <w:rPr/>
      </w:pPr>
      <w:r>
        <w:rPr/>
        <w:tab/>
        <w:t>if it can be proved that there is no reciprocity, the judgment cannot be enforced;</w:t>
      </w:r>
    </w:p>
    <w:p>
      <w:pPr>
        <w:pStyle w:val="Normal"/>
        <w:tabs>
          <w:tab w:val="clear" w:pos="708"/>
          <w:tab w:val="left" w:pos="-1440" w:leader="none"/>
          <w:tab w:val="left" w:pos="-720" w:leader="none"/>
          <w:tab w:val="left" w:pos="0" w:leader="none"/>
          <w:tab w:val="left" w:pos="1134" w:leader="none"/>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67" w:end="0"/>
        <w:jc w:val="both"/>
        <w:rPr>
          <w:sz w:val="24"/>
          <w:lang w:val="en-US"/>
        </w:rPr>
      </w:pPr>
      <w:r>
        <w:rPr>
          <w:sz w:val="24"/>
          <w:lang w:val="en-US"/>
        </w:rPr>
      </w:r>
    </w:p>
    <w:p>
      <w:pPr>
        <w:pStyle w:val="Paragraph2"/>
        <w:widowControl/>
        <w:numPr>
          <w:ilvl w:val="3"/>
          <w:numId w:val="2"/>
        </w:numPr>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567" w:end="0"/>
        <w:jc w:val="both"/>
        <w:rPr/>
      </w:pPr>
      <w:r>
        <w:rPr/>
        <w:tab/>
        <w:t>if reciprocity cannot be proved, the judgment will be enforced if it has not been rendered by default within the meaning of Chilean law (and I am of the opinion that the judgment would not be considered to have been rendered by default if personal service of process was made upon the Borrower or the Process Agent, assuming such manner of service to be valid under the corresponding law, unless the defendant was able to prove that due to other reasons it was prevented from making use of its legal means of defense); and</w:t>
      </w:r>
    </w:p>
    <w:p>
      <w:pPr>
        <w:pStyle w:val="Paragraph2"/>
        <w:widowControl/>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start="567" w:end="0"/>
        <w:jc w:val="both"/>
        <w:rPr/>
      </w:pPr>
      <w:r>
        <w:rPr/>
      </w:r>
    </w:p>
    <w:p>
      <w:pPr>
        <w:pStyle w:val="Paragraph2"/>
        <w:widowControl/>
        <w:numPr>
          <w:ilvl w:val="3"/>
          <w:numId w:val="2"/>
        </w:numPr>
        <w:tabs>
          <w:tab w:val="left" w:pos="-720" w:leader="none"/>
          <w:tab w:val="left" w:pos="0" w:leader="none"/>
          <w:tab w:val="left" w:pos="1134" w:leader="none"/>
          <w:tab w:val="left" w:pos="1418" w:leader="none"/>
          <w:tab w:val="right" w:pos="180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0" w:start="567" w:end="0"/>
        <w:jc w:val="both"/>
        <w:rPr/>
      </w:pPr>
      <w:r>
        <w:rPr/>
        <w:t xml:space="preserve">   </w:t>
      </w:r>
      <w:r>
        <w:rPr/>
        <w:tab/>
        <w:t>in all events, the judgment shall not be contrary to the public policy of Chile</w:t>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tabs>
          <w:tab w:val="clear" w:pos="708"/>
          <w:tab w:val="left" w:pos="567" w:leader="none"/>
          <w:tab w:val="left" w:pos="1418" w:leader="none"/>
        </w:tabs>
        <w:ind w:start="567" w:end="0"/>
        <w:jc w:val="both"/>
        <w:rPr>
          <w:sz w:val="24"/>
          <w:lang w:val="en-US"/>
        </w:rPr>
      </w:pPr>
      <w:r>
        <w:rPr>
          <w:sz w:val="24"/>
          <w:lang w:val="en-US"/>
        </w:rPr>
        <w:t>In addition to the foregoing, please be advised that Chile is a party to the New York Convention on Enforcement of Arbitral Awards.</w:t>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tabs>
          <w:tab w:val="clear" w:pos="708"/>
          <w:tab w:val="left" w:pos="567" w:leader="none"/>
          <w:tab w:val="left" w:pos="1418" w:leader="none"/>
        </w:tabs>
        <w:ind w:start="567" w:end="0"/>
        <w:jc w:val="both"/>
        <w:rPr>
          <w:b/>
          <w:sz w:val="24"/>
          <w:lang w:val="en-US"/>
        </w:rPr>
      </w:pPr>
      <w:r>
        <w:rPr>
          <w:b/>
          <w:sz w:val="24"/>
          <w:lang w:val="en-US"/>
        </w:rPr>
        <w:t>2.</w:t>
        <w:tab/>
        <w:t>Contract Formation</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numPr>
          <w:ilvl w:val="0"/>
          <w:numId w:val="0"/>
        </w:numPr>
        <w:tabs>
          <w:tab w:val="clear" w:pos="708"/>
          <w:tab w:val="left" w:pos="567" w:leader="none"/>
          <w:tab w:val="left" w:pos="1418" w:leader="none"/>
        </w:tabs>
        <w:ind w:hanging="0" w:start="567" w:end="0"/>
        <w:jc w:val="both"/>
        <w:rPr>
          <w:b/>
          <w:sz w:val="24"/>
          <w:lang w:val="en-US"/>
        </w:rPr>
      </w:pPr>
      <w:r>
        <w:rPr>
          <w:b/>
          <w:sz w:val="24"/>
          <w:lang w:val="en-US"/>
        </w:rPr>
        <w:t xml:space="preserve">2.1 </w:t>
        <w:tab/>
        <w:t>Please review the contract formation structure proposed above and comment on any laws in your jurisdiction, which may impact on contract formation and enforceability.</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tabs>
          <w:tab w:val="clear" w:pos="708"/>
          <w:tab w:val="left" w:pos="567" w:leader="none"/>
          <w:tab w:val="left" w:pos="1418" w:leader="none"/>
        </w:tabs>
        <w:ind w:start="567" w:end="0"/>
        <w:jc w:val="both"/>
        <w:rPr>
          <w:sz w:val="24"/>
          <w:lang w:val="en-US"/>
        </w:rPr>
      </w:pPr>
      <w:r>
        <w:rPr>
          <w:sz w:val="24"/>
          <w:lang w:val="en-US"/>
        </w:rPr>
        <w:t>According to the description contained in your memorandum, the contract is formed at the moment when Enron issues the confirmation of the order placed by the customer. Such structure reflects the same principle set forth by Chilean law, which provides that an agreement is formed at the moment when and in the place where the offeree grants his consent. Therefore, for all purposes the agreement must be deemed to have not been executed in Chile and, even in the absence of a choice of law provision, Chilean law would not apply.</w:t>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tabs>
          <w:tab w:val="clear" w:pos="708"/>
          <w:tab w:val="left" w:pos="567" w:leader="none"/>
          <w:tab w:val="left" w:pos="1418" w:leader="none"/>
        </w:tabs>
        <w:ind w:start="567" w:end="0"/>
        <w:jc w:val="both"/>
        <w:rPr>
          <w:sz w:val="24"/>
          <w:lang w:val="en-US"/>
        </w:rPr>
      </w:pPr>
      <w:r>
        <w:rPr>
          <w:sz w:val="24"/>
          <w:lang w:val="en-US"/>
        </w:rPr>
      </w:r>
    </w:p>
    <w:p>
      <w:pPr>
        <w:pStyle w:val="Normal"/>
        <w:numPr>
          <w:ilvl w:val="1"/>
          <w:numId w:val="4"/>
        </w:numPr>
        <w:tabs>
          <w:tab w:val="clear" w:pos="708"/>
          <w:tab w:val="left" w:pos="1418" w:leader="none"/>
        </w:tabs>
        <w:ind w:hanging="0" w:start="567" w:end="0"/>
        <w:jc w:val="both"/>
        <w:rPr>
          <w:b/>
          <w:sz w:val="24"/>
          <w:lang w:val="en-US"/>
        </w:rPr>
      </w:pPr>
      <w:r>
        <w:rPr>
          <w:sz w:val="24"/>
          <w:lang w:val="en-US"/>
        </w:rPr>
        <w:t xml:space="preserve"> </w:t>
      </w:r>
      <w:r>
        <w:rPr>
          <w:b/>
          <w:sz w:val="24"/>
          <w:lang w:val="en-US"/>
        </w:rPr>
        <w:t>Please review the draft agreements and comment on:</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numPr>
          <w:ilvl w:val="0"/>
          <w:numId w:val="9"/>
        </w:numPr>
        <w:tabs>
          <w:tab w:val="clear" w:pos="708"/>
          <w:tab w:val="left" w:pos="567" w:leader="none"/>
          <w:tab w:val="left" w:pos="1418" w:leader="none"/>
        </w:tabs>
        <w:ind w:hanging="0" w:start="567" w:end="0"/>
        <w:jc w:val="both"/>
        <w:rPr>
          <w:b/>
          <w:sz w:val="24"/>
          <w:lang w:val="en-US"/>
        </w:rPr>
      </w:pPr>
      <w:r>
        <w:rPr>
          <w:b/>
          <w:sz w:val="24"/>
          <w:lang w:val="en-US"/>
        </w:rPr>
        <w:t>any areas are unenforceable in your jurisdiction.</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numPr>
          <w:ilvl w:val="0"/>
          <w:numId w:val="9"/>
        </w:numPr>
        <w:tabs>
          <w:tab w:val="clear" w:pos="708"/>
          <w:tab w:val="left" w:pos="567" w:leader="none"/>
          <w:tab w:val="left" w:pos="1418" w:leader="none"/>
        </w:tabs>
        <w:ind w:hanging="0" w:start="567" w:end="0"/>
        <w:jc w:val="both"/>
        <w:rPr>
          <w:b/>
          <w:sz w:val="24"/>
          <w:lang w:val="en-US"/>
        </w:rPr>
      </w:pPr>
      <w:r>
        <w:rPr>
          <w:b/>
          <w:sz w:val="24"/>
          <w:lang w:val="en-US"/>
        </w:rPr>
        <w:t>any implied terms and conditions in your jurisdiction that may impact on these agreements; and</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numPr>
          <w:ilvl w:val="0"/>
          <w:numId w:val="9"/>
        </w:numPr>
        <w:tabs>
          <w:tab w:val="clear" w:pos="708"/>
          <w:tab w:val="left" w:pos="567" w:leader="none"/>
          <w:tab w:val="left" w:pos="1418" w:leader="none"/>
        </w:tabs>
        <w:ind w:hanging="0" w:start="567" w:end="0"/>
        <w:jc w:val="both"/>
        <w:rPr>
          <w:b/>
          <w:sz w:val="24"/>
          <w:lang w:val="en-US"/>
        </w:rPr>
      </w:pPr>
      <w:r>
        <w:rPr>
          <w:b/>
          <w:sz w:val="24"/>
          <w:lang w:val="en-US"/>
        </w:rPr>
        <w:t>any special local language or other requirements that must be addressed in these agreements.</w:t>
      </w:r>
    </w:p>
    <w:p>
      <w:pPr>
        <w:pStyle w:val="Normal"/>
        <w:tabs>
          <w:tab w:val="clear" w:pos="708"/>
          <w:tab w:val="left" w:pos="567" w:leader="none"/>
          <w:tab w:val="left" w:pos="1418" w:leader="none"/>
        </w:tabs>
        <w:ind w:start="567" w:end="0"/>
        <w:jc w:val="both"/>
        <w:rPr>
          <w:b/>
          <w:sz w:val="24"/>
          <w:lang w:val="en-US"/>
        </w:rPr>
      </w:pPr>
      <w:r>
        <w:rPr>
          <w:b/>
          <w:sz w:val="24"/>
          <w:lang w:val="en-US"/>
        </w:rPr>
      </w:r>
    </w:p>
    <w:p>
      <w:pPr>
        <w:pStyle w:val="Normal"/>
        <w:tabs>
          <w:tab w:val="clear" w:pos="708"/>
          <w:tab w:val="left" w:pos="567" w:leader="none"/>
          <w:tab w:val="left" w:pos="1418" w:leader="none"/>
        </w:tabs>
        <w:ind w:start="567" w:end="0"/>
        <w:jc w:val="both"/>
        <w:rPr>
          <w:sz w:val="24"/>
          <w:lang w:val="en-US"/>
        </w:rPr>
      </w:pPr>
      <w:r>
        <w:rPr>
          <w:sz w:val="24"/>
          <w:lang w:val="en-US"/>
        </w:rPr>
        <w:t>There are no provisions of the draft agreements that could be considered unenforceable in Chile, nor any language requirement imposed by Chilean regulations. However, please bear in mind that it is not advisable to attempt to enforce any agreement in Chile when such agreement is subject to a foreign law, being a much better option to obtain a judgement abroad and then request the enforcement of such judgement in Chile.</w:t>
      </w:r>
    </w:p>
    <w:p>
      <w:pPr>
        <w:pStyle w:val="Normal"/>
        <w:tabs>
          <w:tab w:val="clear" w:pos="708"/>
          <w:tab w:val="left" w:pos="567" w:leader="none"/>
        </w:tabs>
        <w:ind w:hanging="567" w:start="567" w:end="0"/>
        <w:jc w:val="both"/>
        <w:rPr>
          <w:sz w:val="24"/>
          <w:lang w:val="en-US"/>
        </w:rPr>
      </w:pPr>
      <w:r>
        <w:rPr>
          <w:sz w:val="24"/>
          <w:lang w:val="en-US"/>
        </w:rPr>
        <w:t xml:space="preserve">     </w:t>
      </w:r>
    </w:p>
    <w:p>
      <w:pPr>
        <w:pStyle w:val="Normal"/>
        <w:numPr>
          <w:ilvl w:val="0"/>
          <w:numId w:val="0"/>
        </w:numPr>
        <w:tabs>
          <w:tab w:val="clear" w:pos="708"/>
          <w:tab w:val="left" w:pos="567" w:leader="none"/>
          <w:tab w:val="left" w:pos="1410" w:leader="none"/>
        </w:tabs>
        <w:ind w:hanging="567" w:start="567" w:end="0"/>
        <w:jc w:val="both"/>
        <w:rPr>
          <w:b/>
          <w:sz w:val="24"/>
          <w:lang w:val="en-US"/>
        </w:rPr>
      </w:pPr>
      <w:r>
        <w:rPr>
          <w:b/>
          <w:sz w:val="24"/>
          <w:lang w:val="en-US"/>
        </w:rPr>
        <w:tab/>
        <w:t>2.3</w:t>
        <w:tab/>
        <w:t>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Since  the only way of executing a trade order by the customer is by entering into the website, it would be sufficient that the customers agree on the terms and conditions for trading every time they type in their password, although it would be advisable to include a language on every trade order by which the customer accepts again such terms when he places the order. Nevertheless, please bear in mind that, by virtue of the choice of law provisions, these matters will not be subject to Chilean law.</w:t>
      </w:r>
    </w:p>
    <w:p>
      <w:pPr>
        <w:pStyle w:val="Normal"/>
        <w:tabs>
          <w:tab w:val="clear" w:pos="708"/>
          <w:tab w:val="left" w:pos="567" w:leader="none"/>
        </w:tabs>
        <w:ind w:hanging="567" w:start="567" w:end="0"/>
        <w:jc w:val="both"/>
        <w:rPr>
          <w:sz w:val="24"/>
          <w:lang w:val="en-US"/>
        </w:rPr>
      </w:pPr>
      <w:r>
        <w:rPr>
          <w:sz w:val="24"/>
          <w:lang w:val="en-US"/>
        </w:rPr>
      </w:r>
    </w:p>
    <w:p>
      <w:pPr>
        <w:pStyle w:val="Normal"/>
        <w:numPr>
          <w:ilvl w:val="0"/>
          <w:numId w:val="0"/>
        </w:numPr>
        <w:tabs>
          <w:tab w:val="clear" w:pos="708"/>
          <w:tab w:val="left" w:pos="567" w:leader="none"/>
          <w:tab w:val="left" w:pos="1410" w:leader="none"/>
        </w:tabs>
        <w:ind w:hanging="567" w:start="567" w:end="0"/>
        <w:jc w:val="both"/>
        <w:rPr>
          <w:b/>
          <w:sz w:val="24"/>
          <w:lang w:val="en-US"/>
        </w:rPr>
      </w:pPr>
      <w:r>
        <w:rPr>
          <w:b/>
          <w:sz w:val="24"/>
          <w:lang w:val="en-US"/>
        </w:rPr>
        <w:tab/>
        <w:t>2.4</w:t>
        <w:tab/>
        <w:t>Are there any risks with relying on the statement that Enron’s Electronic record of the trade will be conclusive proof of that trade.</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Under Chilean law electronic records are not considered as a valid proof of an obligation. Written proof is required for all agreements the amount of which exceeds USD 100, except for mercantile agreements which may be proved with witness. However, there is presently in Congress a bill for the implementation of the electronic signature, which would imply giving some value to the electronic records as proof of trades.</w:t>
      </w:r>
    </w:p>
    <w:p>
      <w:pPr>
        <w:pStyle w:val="Normal"/>
        <w:tabs>
          <w:tab w:val="clear" w:pos="708"/>
          <w:tab w:val="left" w:pos="567" w:leader="none"/>
        </w:tabs>
        <w:ind w:hanging="567" w:start="567" w:end="0"/>
        <w:jc w:val="both"/>
        <w:rPr>
          <w:b/>
          <w:sz w:val="24"/>
          <w:lang w:val="en-US"/>
        </w:rPr>
      </w:pPr>
      <w:r>
        <w:rPr>
          <w:b/>
          <w:sz w:val="24"/>
          <w:lang w:val="en-US"/>
        </w:rPr>
      </w:r>
    </w:p>
    <w:p>
      <w:pPr>
        <w:pStyle w:val="Normal"/>
        <w:numPr>
          <w:ilvl w:val="0"/>
          <w:numId w:val="0"/>
        </w:numPr>
        <w:tabs>
          <w:tab w:val="clear" w:pos="708"/>
          <w:tab w:val="left" w:pos="567" w:leader="none"/>
          <w:tab w:val="left" w:pos="1410" w:leader="none"/>
        </w:tabs>
        <w:ind w:hanging="567" w:start="567" w:end="0"/>
        <w:jc w:val="both"/>
        <w:rPr>
          <w:b/>
          <w:sz w:val="24"/>
          <w:lang w:val="en-US"/>
        </w:rPr>
      </w:pPr>
      <w:r>
        <w:rPr>
          <w:b/>
          <w:sz w:val="24"/>
          <w:lang w:val="en-US"/>
        </w:rPr>
        <w:tab/>
        <w:t>2.5</w:t>
        <w:tab/>
        <w:t>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No language will be required as the agreement will not be subject to Chilean law. In any event, under Chilean law offers addressed to the public in general are not binding on the offeror, and the customer would necessarily be required to place an order to effect a trade.</w:t>
      </w:r>
    </w:p>
    <w:p>
      <w:pPr>
        <w:pStyle w:val="Normal"/>
        <w:tabs>
          <w:tab w:val="clear" w:pos="708"/>
          <w:tab w:val="left" w:pos="567" w:leader="none"/>
        </w:tabs>
        <w:ind w:hanging="567" w:start="567" w:end="0"/>
        <w:jc w:val="both"/>
        <w:rPr>
          <w:sz w:val="24"/>
          <w:lang w:val="en-US"/>
        </w:rPr>
      </w:pPr>
      <w:r>
        <w:rPr>
          <w:sz w:val="24"/>
          <w:lang w:val="en-US"/>
        </w:rPr>
      </w:r>
    </w:p>
    <w:p>
      <w:pPr>
        <w:pStyle w:val="Normal"/>
        <w:tabs>
          <w:tab w:val="clear" w:pos="708"/>
          <w:tab w:val="left" w:pos="567" w:leader="none"/>
        </w:tabs>
        <w:ind w:hanging="567" w:start="567" w:end="0"/>
        <w:jc w:val="both"/>
        <w:rPr>
          <w:sz w:val="24"/>
          <w:lang w:val="en-US"/>
        </w:rPr>
      </w:pPr>
      <w:r>
        <w:rPr>
          <w:sz w:val="24"/>
          <w:lang w:val="en-US"/>
        </w:rPr>
      </w:r>
    </w:p>
    <w:p>
      <w:pPr>
        <w:pStyle w:val="Heading1"/>
        <w:ind w:start="567" w:end="708"/>
        <w:jc w:val="both"/>
        <w:rPr>
          <w:b/>
          <w:sz w:val="24"/>
        </w:rPr>
      </w:pPr>
      <w:r>
        <w:rPr>
          <w:b/>
          <w:sz w:val="24"/>
        </w:rPr>
        <w:t xml:space="preserve">3. </w:t>
        <w:tab/>
        <w:t>Exclusions/Restrictions on Liability</w:t>
      </w:r>
    </w:p>
    <w:p>
      <w:pPr>
        <w:pStyle w:val="Sangra3detindependiente"/>
        <w:ind w:hanging="0" w:end="0"/>
        <w:jc w:val="both"/>
        <w:rPr>
          <w:b/>
          <w:sz w:val="24"/>
        </w:rPr>
      </w:pPr>
      <w:r>
        <w:rPr>
          <w:b/>
          <w:sz w:val="24"/>
        </w:rPr>
      </w:r>
    </w:p>
    <w:p>
      <w:pPr>
        <w:pStyle w:val="Sangra3detindependiente"/>
        <w:ind w:hanging="0" w:end="0"/>
        <w:jc w:val="both"/>
        <w:rPr>
          <w:b/>
        </w:rPr>
      </w:pPr>
      <w:r>
        <w:rPr>
          <w:b/>
        </w:rPr>
        <w:t>3.1 Please review the liability in both the PA and ETA and comment on their          enforceability in your jurisdiction.</w:t>
      </w:r>
    </w:p>
    <w:p>
      <w:pPr>
        <w:pStyle w:val="Sangra3detindependiente"/>
        <w:ind w:hanging="0" w:end="0"/>
        <w:jc w:val="both"/>
        <w:rPr/>
      </w:pPr>
      <w:r>
        <w:rPr/>
      </w:r>
    </w:p>
    <w:p>
      <w:pPr>
        <w:pStyle w:val="Sangra3detindependiente"/>
        <w:ind w:hanging="0" w:end="0"/>
        <w:jc w:val="both"/>
        <w:rPr/>
      </w:pPr>
      <w:r>
        <w:rPr/>
        <w:t>All exclusions or restrictions on liability will be governed by the law agreed upon in the choice of law section, and no Chilean law provisions or restrictions in connection with that matter would apply.</w:t>
      </w:r>
    </w:p>
    <w:p>
      <w:pPr>
        <w:pStyle w:val="Normal"/>
        <w:tabs>
          <w:tab w:val="clear" w:pos="708"/>
          <w:tab w:val="left" w:pos="567" w:leader="none"/>
        </w:tabs>
        <w:ind w:start="567" w:end="0"/>
        <w:jc w:val="both"/>
        <w:rPr>
          <w:sz w:val="24"/>
          <w:lang w:val="en-US"/>
        </w:rPr>
      </w:pPr>
      <w:r>
        <w:rPr>
          <w:sz w:val="24"/>
          <w:lang w:val="en-US"/>
        </w:rPr>
      </w:r>
    </w:p>
    <w:p>
      <w:pPr>
        <w:pStyle w:val="Normal"/>
        <w:tabs>
          <w:tab w:val="clear" w:pos="708"/>
          <w:tab w:val="left" w:pos="567" w:leader="none"/>
        </w:tabs>
        <w:ind w:start="567" w:end="0"/>
        <w:jc w:val="both"/>
        <w:rPr>
          <w:sz w:val="24"/>
          <w:lang w:val="en-US"/>
        </w:rPr>
      </w:pPr>
      <w:r>
        <w:rPr>
          <w:sz w:val="24"/>
          <w:lang w:val="en-US"/>
        </w:rPr>
      </w:r>
    </w:p>
    <w:p>
      <w:pPr>
        <w:pStyle w:val="Normal"/>
        <w:numPr>
          <w:ilvl w:val="0"/>
          <w:numId w:val="2"/>
        </w:numPr>
        <w:tabs>
          <w:tab w:val="clear" w:pos="708"/>
          <w:tab w:val="left" w:pos="567" w:leader="none"/>
        </w:tabs>
        <w:ind w:hanging="0" w:start="567" w:end="0"/>
        <w:jc w:val="both"/>
        <w:rPr>
          <w:b/>
          <w:sz w:val="24"/>
          <w:lang w:val="en-US"/>
        </w:rPr>
      </w:pPr>
      <w:r>
        <w:rPr>
          <w:b/>
          <w:sz w:val="24"/>
          <w:lang w:val="en-US"/>
        </w:rPr>
        <w:t xml:space="preserve">4. </w:t>
        <w:tab/>
        <w:t xml:space="preserve">  Verification</w:t>
      </w:r>
    </w:p>
    <w:p>
      <w:pPr>
        <w:pStyle w:val="Normal"/>
        <w:tabs>
          <w:tab w:val="clear" w:pos="708"/>
          <w:tab w:val="left" w:pos="567" w:leader="none"/>
        </w:tabs>
        <w:ind w:start="567" w:end="0"/>
        <w:jc w:val="both"/>
        <w:rPr>
          <w:b/>
          <w:sz w:val="24"/>
          <w:lang w:val="en-US"/>
        </w:rPr>
      </w:pPr>
      <w:r>
        <w:rPr>
          <w:b/>
          <w:sz w:val="24"/>
          <w:lang w:val="en-US"/>
        </w:rPr>
      </w:r>
    </w:p>
    <w:p>
      <w:pPr>
        <w:pStyle w:val="Normal"/>
        <w:numPr>
          <w:ilvl w:val="1"/>
          <w:numId w:val="3"/>
        </w:numPr>
        <w:tabs>
          <w:tab w:val="clear" w:pos="708"/>
          <w:tab w:val="left" w:pos="567" w:leader="none"/>
        </w:tabs>
        <w:ind w:hanging="0" w:start="567" w:end="0"/>
        <w:jc w:val="both"/>
        <w:rPr>
          <w:b/>
          <w:sz w:val="24"/>
          <w:lang w:val="en-US"/>
        </w:rPr>
      </w:pPr>
      <w:r>
        <w:rPr>
          <w:b/>
          <w:sz w:val="24"/>
          <w:lang w:val="en-US"/>
        </w:rPr>
        <w:t>A counterparty can only access the website by use of a password issued by Enron under the PA. That said, in your jurisdiction would this be sufficient to satisfy and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Again in this situation, the problem will have to be solved pursuant to the provisions of the law applicable to the agreement, and the customer will have to prove under such law that he did take sufficient steps to protect access to his password and that therefore he should not be held liable to comply with the trade. The consequences for Enron and the counterparty arising from the counterpary’s non compliance under these circumstances will be determined by the applicable law.</w:t>
      </w:r>
    </w:p>
    <w:p>
      <w:pPr>
        <w:pStyle w:val="Normal"/>
        <w:tabs>
          <w:tab w:val="clear" w:pos="708"/>
          <w:tab w:val="left" w:pos="567" w:leader="none"/>
        </w:tabs>
        <w:ind w:start="567" w:end="0"/>
        <w:jc w:val="both"/>
        <w:rPr>
          <w:sz w:val="24"/>
          <w:lang w:val="en-US"/>
        </w:rPr>
      </w:pPr>
      <w:r>
        <w:rPr>
          <w:sz w:val="24"/>
          <w:lang w:val="en-US"/>
        </w:rPr>
        <w:t xml:space="preserve"> </w:t>
      </w:r>
    </w:p>
    <w:p>
      <w:pPr>
        <w:pStyle w:val="Normal"/>
        <w:tabs>
          <w:tab w:val="clear" w:pos="708"/>
          <w:tab w:val="left" w:pos="567" w:leader="none"/>
        </w:tabs>
        <w:ind w:start="567" w:end="0"/>
        <w:jc w:val="both"/>
        <w:rPr>
          <w:sz w:val="24"/>
          <w:lang w:val="en-US"/>
        </w:rPr>
      </w:pPr>
      <w:r>
        <w:rPr>
          <w:sz w:val="24"/>
          <w:lang w:val="en-US"/>
        </w:rPr>
      </w:r>
    </w:p>
    <w:p>
      <w:pPr>
        <w:pStyle w:val="Normal"/>
        <w:numPr>
          <w:ilvl w:val="0"/>
          <w:numId w:val="2"/>
        </w:numPr>
        <w:tabs>
          <w:tab w:val="clear" w:pos="708"/>
          <w:tab w:val="left" w:pos="567" w:leader="none"/>
          <w:tab w:val="left" w:pos="709" w:leader="none"/>
        </w:tabs>
        <w:ind w:hanging="0" w:start="567" w:end="0"/>
        <w:jc w:val="both"/>
        <w:rPr>
          <w:b/>
          <w:sz w:val="24"/>
          <w:lang w:val="en-US"/>
        </w:rPr>
      </w:pPr>
      <w:r>
        <w:rPr>
          <w:b/>
          <w:sz w:val="24"/>
          <w:lang w:val="en-US"/>
        </w:rPr>
        <w:t>5.</w:t>
        <w:tab/>
        <w:t>Advertising Laws</w:t>
      </w:r>
    </w:p>
    <w:p>
      <w:pPr>
        <w:pStyle w:val="Normal"/>
        <w:tabs>
          <w:tab w:val="clear" w:pos="708"/>
          <w:tab w:val="left" w:pos="567" w:leader="none"/>
          <w:tab w:val="left" w:pos="709" w:leader="none"/>
        </w:tabs>
        <w:ind w:start="567" w:end="0"/>
        <w:jc w:val="both"/>
        <w:rPr>
          <w:b/>
          <w:sz w:val="24"/>
          <w:lang w:val="en-US"/>
        </w:rPr>
      </w:pPr>
      <w:r>
        <w:rPr>
          <w:b/>
          <w:sz w:val="24"/>
          <w:lang w:val="en-US"/>
        </w:rPr>
      </w:r>
    </w:p>
    <w:p>
      <w:pPr>
        <w:pStyle w:val="Normal"/>
        <w:numPr>
          <w:ilvl w:val="1"/>
          <w:numId w:val="6"/>
        </w:numPr>
        <w:tabs>
          <w:tab w:val="clear" w:pos="708"/>
          <w:tab w:val="left" w:pos="567" w:leader="none"/>
          <w:tab w:val="left" w:pos="709" w:leader="none"/>
        </w:tabs>
        <w:ind w:hanging="0" w:start="567" w:end="0"/>
        <w:jc w:val="both"/>
        <w:rPr>
          <w:b/>
          <w:sz w:val="24"/>
        </w:rPr>
      </w:pPr>
      <w:r>
        <w:rPr>
          <w:b/>
          <w:sz w:val="24"/>
        </w:rPr>
        <w:t>To what extent will Enron be prohibited or restricted from advertising or offering to buy or sell commodities and derivatives via the Internet in your jurisdiction?</w:t>
      </w:r>
    </w:p>
    <w:p>
      <w:pPr>
        <w:pStyle w:val="Normal"/>
        <w:tabs>
          <w:tab w:val="clear" w:pos="708"/>
          <w:tab w:val="left" w:pos="567" w:leader="none"/>
          <w:tab w:val="left" w:pos="709" w:leader="none"/>
        </w:tabs>
        <w:ind w:start="567" w:end="0"/>
        <w:jc w:val="both"/>
        <w:rPr>
          <w:b/>
          <w:sz w:val="24"/>
          <w:lang w:val="en-US"/>
        </w:rPr>
      </w:pPr>
      <w:r>
        <w:rPr>
          <w:b/>
          <w:sz w:val="24"/>
          <w:lang w:val="en-US"/>
        </w:rPr>
      </w:r>
    </w:p>
    <w:p>
      <w:pPr>
        <w:pStyle w:val="Sangra2detindependiente"/>
        <w:tabs>
          <w:tab w:val="clear" w:pos="708"/>
          <w:tab w:val="left" w:pos="567" w:leader="none"/>
        </w:tabs>
        <w:ind w:start="567" w:end="0"/>
        <w:jc w:val="both"/>
        <w:rPr/>
      </w:pPr>
      <w:r>
        <w:rPr/>
        <w:t>There is no restriction imposed by the Chilean Securities Law or the Chilean Banking Law on the advertising or offering to buy and sell derivatives and commodities via Internet, since such products could not be considered as securities, and they are not services restricted only to banks.</w:t>
      </w:r>
    </w:p>
    <w:p>
      <w:pPr>
        <w:pStyle w:val="Normal"/>
        <w:tabs>
          <w:tab w:val="clear" w:pos="708"/>
          <w:tab w:val="left" w:pos="567" w:leader="none"/>
        </w:tabs>
        <w:ind w:start="567" w:end="0"/>
        <w:jc w:val="both"/>
        <w:rPr>
          <w:sz w:val="24"/>
          <w:lang w:val="en-US"/>
        </w:rPr>
      </w:pPr>
      <w:r>
        <w:rPr>
          <w:sz w:val="24"/>
          <w:lang w:val="en-US"/>
        </w:rPr>
      </w:r>
    </w:p>
    <w:p>
      <w:pPr>
        <w:pStyle w:val="Normal"/>
        <w:tabs>
          <w:tab w:val="clear" w:pos="708"/>
          <w:tab w:val="left" w:pos="567" w:leader="none"/>
        </w:tabs>
        <w:ind w:start="567" w:end="0"/>
        <w:jc w:val="both"/>
        <w:rPr>
          <w:sz w:val="24"/>
          <w:lang w:val="en-US"/>
        </w:rPr>
      </w:pPr>
      <w:r>
        <w:rPr>
          <w:sz w:val="24"/>
          <w:lang w:val="en-US"/>
        </w:rPr>
      </w:r>
    </w:p>
    <w:p>
      <w:pPr>
        <w:pStyle w:val="Normal"/>
        <w:numPr>
          <w:ilvl w:val="0"/>
          <w:numId w:val="2"/>
        </w:numPr>
        <w:tabs>
          <w:tab w:val="clear" w:pos="708"/>
          <w:tab w:val="left" w:pos="567" w:leader="none"/>
          <w:tab w:val="left" w:pos="705" w:leader="none"/>
        </w:tabs>
        <w:ind w:hanging="0" w:start="567" w:end="0"/>
        <w:jc w:val="both"/>
        <w:rPr>
          <w:b/>
          <w:sz w:val="24"/>
          <w:lang w:val="en-US"/>
        </w:rPr>
      </w:pPr>
      <w:r>
        <w:rPr>
          <w:b/>
          <w:sz w:val="24"/>
          <w:lang w:val="en-US"/>
        </w:rPr>
        <w:t>6.</w:t>
        <w:tab/>
        <w:t>Data Protection</w:t>
      </w:r>
    </w:p>
    <w:p>
      <w:pPr>
        <w:pStyle w:val="Normal"/>
        <w:tabs>
          <w:tab w:val="clear" w:pos="708"/>
          <w:tab w:val="left" w:pos="567" w:leader="none"/>
        </w:tabs>
        <w:ind w:start="567" w:end="0"/>
        <w:jc w:val="both"/>
        <w:rPr>
          <w:b/>
          <w:sz w:val="24"/>
          <w:lang w:val="en-US"/>
        </w:rPr>
      </w:pPr>
      <w:r>
        <w:rPr>
          <w:b/>
          <w:sz w:val="24"/>
          <w:lang w:val="en-US"/>
        </w:rPr>
      </w:r>
    </w:p>
    <w:p>
      <w:pPr>
        <w:pStyle w:val="Normal"/>
        <w:numPr>
          <w:ilvl w:val="1"/>
          <w:numId w:val="7"/>
        </w:numPr>
        <w:tabs>
          <w:tab w:val="clear" w:pos="708"/>
          <w:tab w:val="left" w:pos="567" w:leader="none"/>
        </w:tabs>
        <w:ind w:hanging="0" w:start="567" w:end="0"/>
        <w:jc w:val="both"/>
        <w:rPr>
          <w:b/>
          <w:sz w:val="24"/>
          <w:lang w:val="en-US"/>
        </w:rPr>
      </w:pPr>
      <w:r>
        <w:rPr>
          <w:b/>
          <w:sz w:val="24"/>
          <w:lang w:val="en-US"/>
        </w:rPr>
        <w:t>Please confirm the extent to which, if any, data protection law issues will apply to this venture.</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No Chilean laws on data protection will apply to these agreements.</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b/>
          <w:sz w:val="24"/>
          <w:lang w:val="en-US"/>
        </w:rPr>
      </w:pPr>
      <w:r>
        <w:rPr>
          <w:b/>
          <w:sz w:val="24"/>
          <w:lang w:val="en-US"/>
        </w:rPr>
      </w:r>
    </w:p>
    <w:p>
      <w:pPr>
        <w:pStyle w:val="Normal"/>
        <w:numPr>
          <w:ilvl w:val="0"/>
          <w:numId w:val="2"/>
        </w:numPr>
        <w:tabs>
          <w:tab w:val="clear" w:pos="708"/>
          <w:tab w:val="left" w:pos="567" w:leader="none"/>
          <w:tab w:val="left" w:pos="705" w:leader="none"/>
        </w:tabs>
        <w:ind w:hanging="0" w:start="567" w:end="0"/>
        <w:jc w:val="both"/>
        <w:rPr>
          <w:b/>
          <w:sz w:val="24"/>
          <w:lang w:val="en-US"/>
        </w:rPr>
      </w:pPr>
      <w:r>
        <w:rPr>
          <w:b/>
          <w:sz w:val="24"/>
          <w:lang w:val="en-US"/>
        </w:rPr>
        <w:t xml:space="preserve">7. </w:t>
        <w:tab/>
        <w:t>Intellectual Property Rights</w:t>
      </w:r>
    </w:p>
    <w:p>
      <w:pPr>
        <w:pStyle w:val="Normal"/>
        <w:tabs>
          <w:tab w:val="clear" w:pos="708"/>
          <w:tab w:val="left" w:pos="567" w:leader="none"/>
        </w:tabs>
        <w:ind w:start="567" w:end="0"/>
        <w:jc w:val="both"/>
        <w:rPr>
          <w:b/>
          <w:sz w:val="24"/>
          <w:lang w:val="en-US"/>
        </w:rPr>
      </w:pPr>
      <w:r>
        <w:rPr>
          <w:b/>
          <w:sz w:val="24"/>
          <w:lang w:val="en-US"/>
        </w:rPr>
      </w:r>
    </w:p>
    <w:p>
      <w:pPr>
        <w:pStyle w:val="Normal"/>
        <w:numPr>
          <w:ilvl w:val="1"/>
          <w:numId w:val="5"/>
        </w:numPr>
        <w:tabs>
          <w:tab w:val="clear" w:pos="708"/>
          <w:tab w:val="left" w:pos="567" w:leader="none"/>
        </w:tabs>
        <w:ind w:hanging="0" w:start="567" w:end="0"/>
        <w:jc w:val="both"/>
        <w:rPr>
          <w:sz w:val="24"/>
          <w:lang w:val="en-US"/>
        </w:rPr>
      </w:pPr>
      <w:r>
        <w:rPr>
          <w:b/>
          <w:sz w:val="24"/>
        </w:rPr>
        <w:t>Are there any intellectual property rights issues which Enron should bear in mind when carrying out this activity?</w:t>
      </w:r>
    </w:p>
    <w:p>
      <w:pPr>
        <w:pStyle w:val="Normal"/>
        <w:tabs>
          <w:tab w:val="clear" w:pos="708"/>
          <w:tab w:val="left" w:pos="567" w:leader="none"/>
        </w:tabs>
        <w:ind w:start="567" w:end="0"/>
        <w:jc w:val="both"/>
        <w:rPr>
          <w:sz w:val="24"/>
          <w:lang w:val="en-US"/>
        </w:rPr>
      </w:pPr>
      <w:r>
        <w:rPr>
          <w:sz w:val="24"/>
          <w:lang w:val="en-US"/>
        </w:rPr>
      </w:r>
    </w:p>
    <w:p>
      <w:pPr>
        <w:pStyle w:val="Sangra2detindependiente"/>
        <w:tabs>
          <w:tab w:val="clear" w:pos="708"/>
          <w:tab w:val="left" w:pos="567" w:leader="none"/>
        </w:tabs>
        <w:ind w:start="567" w:end="0"/>
        <w:jc w:val="both"/>
        <w:rPr/>
      </w:pPr>
      <w:r>
        <w:rPr/>
        <w:t>Other than the registration of the trademarks that Enron would like to protect, as well as the registration of domain names, all of which would be in Enron’s interest, there would be no concerns of intellectual property issues.</w:t>
      </w:r>
    </w:p>
    <w:p>
      <w:pPr>
        <w:pStyle w:val="Normal"/>
        <w:tabs>
          <w:tab w:val="clear" w:pos="708"/>
          <w:tab w:val="left" w:pos="567" w:leader="none"/>
        </w:tabs>
        <w:ind w:start="567" w:end="0"/>
        <w:jc w:val="both"/>
        <w:rPr>
          <w:sz w:val="24"/>
          <w:lang w:val="en-US"/>
        </w:rPr>
      </w:pPr>
      <w:r>
        <w:rPr>
          <w:sz w:val="24"/>
          <w:lang w:val="en-US"/>
        </w:rPr>
      </w:r>
    </w:p>
    <w:p>
      <w:pPr>
        <w:pStyle w:val="Normal"/>
        <w:tabs>
          <w:tab w:val="clear" w:pos="708"/>
          <w:tab w:val="left" w:pos="567" w:leader="none"/>
        </w:tabs>
        <w:ind w:start="567" w:end="0"/>
        <w:jc w:val="both"/>
        <w:rPr>
          <w:sz w:val="24"/>
          <w:lang w:val="en-US"/>
        </w:rPr>
      </w:pPr>
      <w:r>
        <w:rPr>
          <w:sz w:val="24"/>
          <w:lang w:val="en-US"/>
        </w:rPr>
      </w:r>
    </w:p>
    <w:p>
      <w:pPr>
        <w:pStyle w:val="Normal"/>
        <w:numPr>
          <w:ilvl w:val="0"/>
          <w:numId w:val="2"/>
        </w:numPr>
        <w:tabs>
          <w:tab w:val="clear" w:pos="708"/>
          <w:tab w:val="left" w:pos="567" w:leader="none"/>
        </w:tabs>
        <w:ind w:hanging="0" w:start="567" w:end="0"/>
        <w:jc w:val="both"/>
        <w:rPr>
          <w:b/>
          <w:sz w:val="24"/>
          <w:lang w:val="en-US"/>
        </w:rPr>
      </w:pPr>
      <w:r>
        <w:rPr>
          <w:b/>
          <w:sz w:val="24"/>
          <w:lang w:val="en-US"/>
        </w:rPr>
        <w:t xml:space="preserve">8. </w:t>
        <w:tab/>
        <w:t>General</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b/>
          <w:sz w:val="24"/>
        </w:rPr>
      </w:pPr>
      <w:r>
        <w:rPr>
          <w:b/>
          <w:sz w:val="24"/>
        </w:rPr>
        <w:t xml:space="preserve">8.1 </w:t>
        <w:tab/>
        <w:t>To the extent not dealt with above, please set out in broad terms any other issues which Enron should consider in relation to this proposed venture.</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pPr>
      <w:r>
        <w:rPr>
          <w:sz w:val="24"/>
          <w:lang w:val="en-US"/>
        </w:rPr>
        <w:t xml:space="preserve">No specific regulations have been implemented for internet trading in general. The only applicable provisions would be those of are contained in Law N°18,840, (the “Central Bank Law”) and in the  </w:t>
      </w:r>
      <w:r>
        <w:rPr>
          <w:sz w:val="24"/>
          <w:lang w:val="en-US" w:eastAsia="es-ES"/>
        </w:rPr>
        <w:t xml:space="preserve">Foreign Exchange Regulations of the Central Bank of Chile (the “FER”). </w:t>
      </w:r>
      <w:r>
        <w:rPr>
          <w:sz w:val="24"/>
          <w:lang w:val="en-US"/>
        </w:rPr>
        <w:t xml:space="preserve">Article 39 of the Central Bank Law provides that any person can freely enter into foreign exchange transactions. However, under the Central Bank Law, the Central Bank is entitled to impose certain limitation and restriction on such  transactions. </w:t>
      </w:r>
      <w:r>
        <w:rPr>
          <w:sz w:val="24"/>
          <w:lang w:val="en-US" w:eastAsia="es-ES"/>
        </w:rPr>
        <w:t xml:space="preserve">The FER contain provisions applicable to the remittance of foreign currency under futures, forwards, options swaps, credit derivatives or a combination of them, with respect to foreign currency, Chilean currency, foreign interest rates, fixed income instruments, products and shares, which may be executed between Chilean customers and non </w:t>
      </w:r>
      <w:r>
        <w:rPr>
          <w:sz w:val="24"/>
          <w:lang w:val="en-US"/>
        </w:rPr>
        <w:t xml:space="preserve">Chilean entities. Such regulations require that the transactions be carried out by local counterparties in the regulated market (the “Formal Exchange Market”) and impose on them certain report obligations, but do not set forth any restrictions on foreign entities offering such products. </w:t>
      </w:r>
    </w:p>
    <w:p>
      <w:pPr>
        <w:pStyle w:val="Normal"/>
        <w:tabs>
          <w:tab w:val="clear" w:pos="708"/>
          <w:tab w:val="left" w:pos="567" w:leader="none"/>
        </w:tabs>
        <w:ind w:start="567" w:end="0"/>
        <w:jc w:val="both"/>
        <w:rPr>
          <w:sz w:val="24"/>
          <w:lang w:val="en-US"/>
        </w:rPr>
      </w:pPr>
      <w:r>
        <w:rPr>
          <w:sz w:val="24"/>
          <w:lang w:val="en-US"/>
        </w:rPr>
      </w:r>
    </w:p>
    <w:p>
      <w:pPr>
        <w:pStyle w:val="Normal"/>
        <w:tabs>
          <w:tab w:val="clear" w:pos="708"/>
          <w:tab w:val="left" w:pos="567" w:leader="none"/>
        </w:tabs>
        <w:ind w:hanging="567" w:start="567" w:end="0"/>
        <w:jc w:val="both"/>
        <w:rPr>
          <w:sz w:val="24"/>
          <w:lang w:val="en-US"/>
        </w:rPr>
      </w:pPr>
      <w:r>
        <w:rPr>
          <w:sz w:val="24"/>
          <w:lang w:val="en-US"/>
        </w:rPr>
        <w:tab/>
        <w:t>However, it must be noted that, although the foreign service provider will not be subject to any restrictions, pursuant to Chilean regulations commercial banks and institutional investors are restricted with respect to the derivative transactions they can enter into, and those requirements result in a restriction for the foreign entities in the marketing of their products. Chilean commercial banks can only enter into credit derivatives with foreign entities if such entities have an international rating of at least A-, and provided the transaction does not have a speculative purpose, i.e. it is entered  in order to hedge such bank’s fixed rate instrument portfolio and commercial placement. Among institutional investors the most relevant entities are pension funds or “AFPs”, which can only enter into non speculative derivatives with foreign entities that have been authorized by the Chilean Risk Rating Commission. Other institutional investors such as mutual funds and insurance companies have similar restrictions.</w:t>
      </w:r>
    </w:p>
    <w:p>
      <w:pPr>
        <w:pStyle w:val="Normal"/>
        <w:tabs>
          <w:tab w:val="clear" w:pos="708"/>
          <w:tab w:val="left" w:pos="567" w:leader="none"/>
        </w:tabs>
        <w:ind w:hanging="567" w:start="567" w:end="0"/>
        <w:jc w:val="both"/>
        <w:rPr>
          <w:sz w:val="24"/>
          <w:lang w:val="en-US"/>
        </w:rPr>
      </w:pPr>
      <w:r>
        <w:rPr>
          <w:sz w:val="24"/>
          <w:lang w:val="en-US"/>
        </w:rPr>
      </w:r>
    </w:p>
    <w:p>
      <w:pPr>
        <w:pStyle w:val="Normal"/>
        <w:tabs>
          <w:tab w:val="clear" w:pos="708"/>
          <w:tab w:val="left" w:pos="567" w:leader="none"/>
        </w:tabs>
        <w:ind w:hanging="567" w:start="567" w:end="0"/>
        <w:jc w:val="both"/>
        <w:rPr>
          <w:sz w:val="24"/>
          <w:lang w:val="en-US"/>
        </w:rPr>
      </w:pPr>
      <w:r>
        <w:rPr>
          <w:sz w:val="24"/>
          <w:lang w:val="en-US"/>
        </w:rPr>
        <w:tab/>
        <w:t>Finally, it is important to keep in mind that should there be any payments from Chile to a non Chilean entity under any of the agreements, and provided such payments are considered as income by the Chilean IRS, they could be subject to a withholding tax in Chile at a rate of up to 35%. Therefore, it is important to include in every agreement a gross up provision for taxes.</w:t>
      </w:r>
    </w:p>
    <w:p>
      <w:pPr>
        <w:pStyle w:val="Normal"/>
        <w:tabs>
          <w:tab w:val="clear" w:pos="708"/>
          <w:tab w:val="left" w:pos="567" w:leader="none"/>
        </w:tabs>
        <w:ind w:hanging="567" w:start="567" w:end="0"/>
        <w:jc w:val="both"/>
        <w:rPr>
          <w:sz w:val="24"/>
          <w:lang w:val="en-US"/>
        </w:rPr>
      </w:pPr>
      <w:r>
        <w:rPr>
          <w:sz w:val="24"/>
          <w:lang w:val="en-US"/>
        </w:rPr>
      </w:r>
    </w:p>
    <w:p>
      <w:pPr>
        <w:pStyle w:val="Normal"/>
        <w:tabs>
          <w:tab w:val="clear" w:pos="708"/>
          <w:tab w:val="left" w:pos="567" w:leader="none"/>
        </w:tabs>
        <w:ind w:start="567" w:end="0"/>
        <w:jc w:val="both"/>
        <w:rPr>
          <w:sz w:val="24"/>
          <w:lang w:val="en-US"/>
        </w:rPr>
      </w:pPr>
      <w:r>
        <w:rPr>
          <w:sz w:val="24"/>
          <w:lang w:val="en-US"/>
        </w:rPr>
      </w:r>
    </w:p>
    <w:p>
      <w:pPr>
        <w:pStyle w:val="Normal"/>
        <w:numPr>
          <w:ilvl w:val="0"/>
          <w:numId w:val="8"/>
        </w:numPr>
        <w:jc w:val="both"/>
        <w:rPr>
          <w:b/>
          <w:sz w:val="24"/>
          <w:lang w:val="en-US"/>
        </w:rPr>
      </w:pPr>
      <w:r>
        <w:rPr>
          <w:b/>
          <w:sz w:val="24"/>
          <w:lang w:val="en-US"/>
        </w:rPr>
        <w:t>Products Traded through the Internet</w:t>
      </w:r>
    </w:p>
    <w:p>
      <w:pPr>
        <w:pStyle w:val="Normal"/>
        <w:tabs>
          <w:tab w:val="clear" w:pos="708"/>
          <w:tab w:val="left" w:pos="567" w:leader="none"/>
        </w:tabs>
        <w:ind w:start="567" w:end="0"/>
        <w:jc w:val="both"/>
        <w:rPr>
          <w:b/>
          <w:sz w:val="24"/>
          <w:lang w:val="en-US"/>
        </w:rPr>
      </w:pPr>
      <w:r>
        <w:rPr>
          <w:b/>
          <w:sz w:val="24"/>
          <w:lang w:val="en-US"/>
        </w:rPr>
      </w:r>
    </w:p>
    <w:p>
      <w:pPr>
        <w:pStyle w:val="Normal"/>
        <w:numPr>
          <w:ilvl w:val="1"/>
          <w:numId w:val="8"/>
        </w:numPr>
        <w:tabs>
          <w:tab w:val="clear" w:pos="708"/>
          <w:tab w:val="left" w:pos="567" w:leader="none"/>
          <w:tab w:val="left" w:pos="1418" w:leader="none"/>
        </w:tabs>
        <w:ind w:hanging="0" w:start="567" w:end="0"/>
        <w:jc w:val="both"/>
        <w:rPr>
          <w:b/>
          <w:sz w:val="24"/>
          <w:lang w:val="en-US"/>
        </w:rPr>
      </w:pPr>
      <w:r>
        <w:rPr>
          <w:b/>
          <w:sz w:val="24"/>
          <w:lang w:val="en-US"/>
        </w:rPr>
        <w:t>Have relevant regulators in your jurisdiction made any statements regarding marketing of or dealing in any of the following types of products through the Internet or other electronic systems:</w:t>
      </w:r>
    </w:p>
    <w:p>
      <w:pPr>
        <w:pStyle w:val="Normal"/>
        <w:tabs>
          <w:tab w:val="clear" w:pos="708"/>
          <w:tab w:val="left" w:pos="567" w:leader="none"/>
        </w:tabs>
        <w:ind w:hanging="567" w:start="567" w:end="0"/>
        <w:jc w:val="both"/>
        <w:rPr>
          <w:b/>
          <w:sz w:val="24"/>
          <w:lang w:val="en-US"/>
        </w:rPr>
      </w:pPr>
      <w:r>
        <w:rPr>
          <w:b/>
          <w:sz w:val="24"/>
          <w:lang w:val="en-US"/>
        </w:rPr>
      </w:r>
    </w:p>
    <w:p>
      <w:pPr>
        <w:pStyle w:val="Normal"/>
        <w:numPr>
          <w:ilvl w:val="0"/>
          <w:numId w:val="11"/>
        </w:numPr>
        <w:tabs>
          <w:tab w:val="clear" w:pos="708"/>
          <w:tab w:val="left" w:pos="1701" w:leader="none"/>
        </w:tabs>
        <w:ind w:hanging="360" w:start="1776" w:end="0"/>
        <w:jc w:val="both"/>
        <w:rPr>
          <w:b/>
          <w:sz w:val="24"/>
          <w:lang w:val="en-US"/>
        </w:rPr>
      </w:pPr>
      <w:r>
        <w:rPr>
          <w:b/>
          <w:sz w:val="24"/>
          <w:lang w:val="en-US"/>
        </w:rPr>
        <w:t>Commodity transactions relating to oil, gas, electricity, weather, pulp and paper or other commodities, whether derivative transactions (cash settled) or physically settled.</w:t>
      </w:r>
    </w:p>
    <w:p>
      <w:pPr>
        <w:pStyle w:val="Normal"/>
        <w:numPr>
          <w:ilvl w:val="0"/>
          <w:numId w:val="11"/>
        </w:numPr>
        <w:tabs>
          <w:tab w:val="clear" w:pos="708"/>
          <w:tab w:val="left" w:pos="1701" w:leader="none"/>
        </w:tabs>
        <w:ind w:hanging="360" w:start="1776" w:end="0"/>
        <w:jc w:val="both"/>
        <w:rPr>
          <w:b/>
          <w:sz w:val="24"/>
          <w:lang w:val="en-US"/>
        </w:rPr>
      </w:pPr>
      <w:r>
        <w:rPr>
          <w:b/>
          <w:sz w:val="24"/>
          <w:lang w:val="en-US"/>
        </w:rPr>
        <w:t>Financial derivatives – i.e. interest rate, foreign exchange, or credit derivatives.</w:t>
      </w:r>
    </w:p>
    <w:p>
      <w:pPr>
        <w:pStyle w:val="Normal"/>
        <w:tabs>
          <w:tab w:val="clear" w:pos="708"/>
          <w:tab w:val="left" w:pos="567" w:leader="none"/>
        </w:tabs>
        <w:ind w:hanging="567" w:start="567" w:end="0"/>
        <w:jc w:val="both"/>
        <w:rPr>
          <w:b/>
          <w:sz w:val="24"/>
          <w:lang w:val="en-US"/>
        </w:rPr>
      </w:pPr>
      <w:r>
        <w:rPr>
          <w:b/>
          <w:sz w:val="24"/>
          <w:lang w:val="en-US"/>
        </w:rPr>
      </w:r>
    </w:p>
    <w:p>
      <w:pPr>
        <w:pStyle w:val="Normal"/>
        <w:tabs>
          <w:tab w:val="clear" w:pos="708"/>
          <w:tab w:val="left" w:pos="567" w:leader="none"/>
        </w:tabs>
        <w:ind w:hanging="567" w:start="567" w:end="0"/>
        <w:jc w:val="both"/>
        <w:rPr/>
      </w:pPr>
      <w:r>
        <w:rPr>
          <w:b/>
          <w:sz w:val="24"/>
          <w:lang w:val="en-US"/>
        </w:rPr>
        <w:tab/>
        <w:t>If so, please could you provide us with a brief summary</w:t>
      </w:r>
      <w:r>
        <w:rPr>
          <w:sz w:val="24"/>
          <w:lang w:val="en-US"/>
        </w:rPr>
        <w:t>.</w:t>
      </w:r>
    </w:p>
    <w:p>
      <w:pPr>
        <w:pStyle w:val="Normal"/>
        <w:tabs>
          <w:tab w:val="clear" w:pos="708"/>
          <w:tab w:val="left" w:pos="567" w:leader="none"/>
        </w:tabs>
        <w:ind w:hanging="567" w:start="567" w:end="0"/>
        <w:jc w:val="both"/>
        <w:rPr>
          <w:sz w:val="24"/>
          <w:lang w:val="en-US"/>
        </w:rPr>
      </w:pPr>
      <w:r>
        <w:rPr>
          <w:sz w:val="24"/>
          <w:lang w:val="en-US"/>
        </w:rPr>
      </w:r>
    </w:p>
    <w:p>
      <w:pPr>
        <w:pStyle w:val="Normal"/>
        <w:tabs>
          <w:tab w:val="clear" w:pos="708"/>
          <w:tab w:val="left" w:pos="567" w:leader="none"/>
        </w:tabs>
        <w:ind w:hanging="567" w:start="567" w:end="0"/>
        <w:jc w:val="both"/>
        <w:rPr>
          <w:sz w:val="24"/>
          <w:lang w:val="en-US"/>
        </w:rPr>
      </w:pPr>
      <w:r>
        <w:rPr>
          <w:sz w:val="24"/>
          <w:lang w:val="en-US"/>
        </w:rPr>
        <w:tab/>
        <w:t>No specific regulations have been implemented in connection with internet transactions of any of the products described above.</w:t>
      </w:r>
    </w:p>
    <w:p>
      <w:pPr>
        <w:pStyle w:val="Normal"/>
        <w:tabs>
          <w:tab w:val="clear" w:pos="708"/>
          <w:tab w:val="left" w:pos="567" w:leader="none"/>
        </w:tabs>
        <w:ind w:hanging="567" w:start="567" w:end="0"/>
        <w:jc w:val="both"/>
        <w:rPr>
          <w:sz w:val="24"/>
          <w:lang w:val="en-US"/>
        </w:rPr>
      </w:pPr>
      <w:r>
        <w:rPr>
          <w:sz w:val="24"/>
          <w:lang w:val="en-US"/>
        </w:rPr>
      </w:r>
    </w:p>
    <w:p>
      <w:pPr>
        <w:pStyle w:val="Normal"/>
        <w:numPr>
          <w:ilvl w:val="1"/>
          <w:numId w:val="10"/>
        </w:numPr>
        <w:tabs>
          <w:tab w:val="clear" w:pos="708"/>
          <w:tab w:val="left" w:pos="567" w:leader="none"/>
        </w:tabs>
        <w:ind w:hanging="0" w:start="567" w:end="0"/>
        <w:jc w:val="both"/>
        <w:rPr>
          <w:b/>
          <w:sz w:val="24"/>
          <w:lang w:val="en-US"/>
        </w:rPr>
      </w:pPr>
      <w:r>
        <w:rPr>
          <w:b/>
          <w:sz w:val="24"/>
          <w:lang w:val="en-US"/>
        </w:rPr>
        <w:t>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via the Internet. In particular, if a transaction entered into via the Internet is enforceable under U.S. or U.K. law and the transactions contain a choice of such law, will such transactions, including the choice of law, be enforceable in your jurisdiction?</w:t>
      </w:r>
    </w:p>
    <w:p>
      <w:pPr>
        <w:pStyle w:val="Normal"/>
        <w:ind w:start="567" w:end="0"/>
        <w:jc w:val="both"/>
        <w:rPr>
          <w:b/>
          <w:sz w:val="24"/>
          <w:lang w:val="en-US"/>
        </w:rPr>
      </w:pPr>
      <w:r>
        <w:rPr>
          <w:b/>
          <w:sz w:val="24"/>
          <w:lang w:val="en-US"/>
        </w:rPr>
      </w:r>
    </w:p>
    <w:p>
      <w:pPr>
        <w:pStyle w:val="Normal"/>
        <w:tabs>
          <w:tab w:val="clear" w:pos="708"/>
          <w:tab w:val="left" w:pos="567" w:leader="none"/>
        </w:tabs>
        <w:ind w:hanging="567" w:start="567" w:end="0"/>
        <w:jc w:val="both"/>
        <w:rPr>
          <w:sz w:val="24"/>
          <w:lang w:val="en-US"/>
        </w:rPr>
      </w:pPr>
      <w:r>
        <w:rPr>
          <w:sz w:val="24"/>
          <w:lang w:val="en-US"/>
        </w:rPr>
        <w:tab/>
        <w:t>There are no laws or regulations that would prevent marketing or trading in Chile any of the products described in 9.1 above. Any agreements entered with Chilean counterparties would be enforceable in Chile, and choice of law provisions will be recognized by Chilean courts. However, since the applicable law and jurisdiction are not Chilean, compulsory enforcement will have to be requested to the competent foreign court, and once a judgement has been obtained, its enforcement in Chile will have to be requested to the Chilean Supreme Court, see 2.1 above.</w:t>
      </w:r>
    </w:p>
    <w:p>
      <w:pPr>
        <w:pStyle w:val="Normal"/>
        <w:tabs>
          <w:tab w:val="clear" w:pos="708"/>
          <w:tab w:val="left" w:pos="567" w:leader="none"/>
        </w:tabs>
        <w:ind w:start="567" w:end="0"/>
        <w:jc w:val="both"/>
        <w:rPr>
          <w:sz w:val="24"/>
          <w:lang w:val="en-US"/>
        </w:rPr>
      </w:pPr>
      <w:r>
        <w:rPr>
          <w:sz w:val="24"/>
          <w:lang w:val="en-US"/>
        </w:rPr>
      </w:r>
    </w:p>
    <w:p>
      <w:pPr>
        <w:pStyle w:val="Normal"/>
        <w:numPr>
          <w:ilvl w:val="1"/>
          <w:numId w:val="10"/>
        </w:numPr>
        <w:tabs>
          <w:tab w:val="clear" w:pos="708"/>
          <w:tab w:val="left" w:pos="567" w:leader="none"/>
        </w:tabs>
        <w:ind w:hanging="0" w:start="567" w:end="0"/>
        <w:jc w:val="both"/>
        <w:rPr>
          <w:sz w:val="24"/>
          <w:lang w:val="en-US"/>
        </w:rPr>
      </w:pPr>
      <w:r>
        <w:rPr>
          <w:b/>
          <w:sz w:val="24"/>
          <w:lang w:val="en-US"/>
        </w:rPr>
        <w:t>If the answer to either of question 9.1 or 9.2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Normal"/>
        <w:ind w:start="567" w:end="0"/>
        <w:jc w:val="both"/>
        <w:rPr>
          <w:sz w:val="24"/>
          <w:lang w:val="en-US"/>
        </w:rPr>
      </w:pPr>
      <w:r>
        <w:rPr>
          <w:sz w:val="24"/>
          <w:lang w:val="en-US"/>
        </w:rPr>
      </w:r>
    </w:p>
    <w:p>
      <w:pPr>
        <w:pStyle w:val="Normal"/>
        <w:ind w:start="567" w:end="0"/>
        <w:jc w:val="both"/>
        <w:rPr>
          <w:sz w:val="24"/>
          <w:lang w:val="en-US"/>
        </w:rPr>
      </w:pPr>
      <w:r>
        <w:rPr>
          <w:sz w:val="24"/>
          <w:lang w:val="en-US"/>
        </w:rPr>
        <w:t>No specific regulations have been implemented.</w:t>
      </w:r>
    </w:p>
    <w:p>
      <w:pPr>
        <w:pStyle w:val="Normal"/>
        <w:ind w:start="567" w:end="0"/>
        <w:jc w:val="both"/>
        <w:rPr>
          <w:sz w:val="24"/>
          <w:lang w:val="en-US"/>
        </w:rPr>
      </w:pPr>
      <w:r>
        <w:rPr>
          <w:sz w:val="24"/>
          <w:lang w:val="en-US"/>
        </w:rPr>
      </w:r>
    </w:p>
    <w:p>
      <w:pPr>
        <w:pStyle w:val="Normal"/>
        <w:numPr>
          <w:ilvl w:val="1"/>
          <w:numId w:val="10"/>
        </w:numPr>
        <w:tabs>
          <w:tab w:val="clear" w:pos="708"/>
          <w:tab w:val="left" w:pos="567" w:leader="none"/>
        </w:tabs>
        <w:ind w:hanging="0" w:start="567" w:end="0"/>
        <w:jc w:val="both"/>
        <w:rPr>
          <w:b/>
          <w:sz w:val="24"/>
          <w:lang w:val="en-US"/>
        </w:rPr>
      </w:pPr>
      <w:r>
        <w:rPr>
          <w:b/>
          <w:sz w:val="24"/>
          <w:lang w:val="en-US"/>
        </w:rPr>
        <w:t>Please confirm that by marketing to or trading with counterparts in your jurisdiction via the Internet local relevant regulatory bodies/local laws or regulations will not consider the party maintaining the relevant website or the Enron trading entity (that otherwise does not already have a permanent establishment in your jurisdiction) to have established a physical establishment/branch in your jurisdiction.</w:t>
      </w:r>
    </w:p>
    <w:p>
      <w:pPr>
        <w:pStyle w:val="Normal"/>
        <w:tabs>
          <w:tab w:val="clear" w:pos="708"/>
          <w:tab w:val="left" w:pos="567" w:leader="none"/>
        </w:tabs>
        <w:ind w:start="567" w:end="0"/>
        <w:jc w:val="both"/>
        <w:rPr>
          <w:b/>
          <w:sz w:val="24"/>
          <w:lang w:val="en-US"/>
        </w:rPr>
      </w:pPr>
      <w:r>
        <w:rPr>
          <w:b/>
          <w:sz w:val="24"/>
          <w:lang w:val="en-US"/>
        </w:rPr>
      </w:r>
    </w:p>
    <w:p>
      <w:pPr>
        <w:pStyle w:val="Normal"/>
        <w:tabs>
          <w:tab w:val="clear" w:pos="708"/>
          <w:tab w:val="left" w:pos="567" w:leader="none"/>
        </w:tabs>
        <w:ind w:start="567" w:end="0"/>
        <w:jc w:val="both"/>
        <w:rPr>
          <w:sz w:val="24"/>
          <w:lang w:val="en-US"/>
        </w:rPr>
      </w:pPr>
      <w:r>
        <w:rPr>
          <w:sz w:val="24"/>
          <w:lang w:val="en-US"/>
        </w:rPr>
        <w:t>Marketing or trading with Chilean counterparts will not be sufficient to allow Chilean regulatory or tax authorities to conclude that Enron would have a permanent establishment or a branch in Chile.</w:t>
      </w:r>
    </w:p>
    <w:p>
      <w:pPr>
        <w:pStyle w:val="Normal"/>
        <w:tabs>
          <w:tab w:val="clear" w:pos="708"/>
          <w:tab w:val="left" w:pos="567" w:leader="none"/>
        </w:tabs>
        <w:ind w:start="567" w:end="0"/>
        <w:jc w:val="both"/>
        <w:rPr>
          <w:sz w:val="24"/>
          <w:lang w:val="en-US"/>
        </w:rPr>
      </w:pPr>
      <w:r>
        <w:rPr>
          <w:sz w:val="24"/>
          <w:lang w:val="en-US"/>
        </w:rPr>
      </w:r>
    </w:p>
    <w:p>
      <w:pPr>
        <w:pStyle w:val="Normal"/>
        <w:spacing w:lineRule="auto" w:line="360"/>
        <w:ind w:start="567" w:end="708"/>
        <w:jc w:val="both"/>
        <w:rPr>
          <w:sz w:val="24"/>
          <w:lang w:val="en-GB"/>
        </w:rPr>
      </w:pPr>
      <w:r>
        <w:rPr>
          <w:sz w:val="24"/>
          <w:lang w:val="en-GB"/>
        </w:rPr>
        <w:t>Please do not hesitate to contact us should you have any additional question on the foregoing.</w:t>
      </w:r>
    </w:p>
    <w:p>
      <w:pPr>
        <w:pStyle w:val="Normal"/>
        <w:spacing w:lineRule="auto" w:line="360"/>
        <w:ind w:start="567" w:end="708"/>
        <w:jc w:val="both"/>
        <w:rPr>
          <w:sz w:val="24"/>
          <w:lang w:val="en-GB"/>
        </w:rPr>
      </w:pPr>
      <w:r>
        <w:rPr>
          <w:sz w:val="24"/>
          <w:lang w:val="en-GB"/>
        </w:rPr>
      </w:r>
    </w:p>
    <w:p>
      <w:pPr>
        <w:pStyle w:val="Normal"/>
        <w:spacing w:lineRule="auto" w:line="360"/>
        <w:ind w:start="567" w:end="708"/>
        <w:jc w:val="both"/>
        <w:rPr>
          <w:sz w:val="24"/>
          <w:lang w:val="en-GB"/>
        </w:rPr>
      </w:pPr>
      <w:r>
        <w:rPr>
          <w:sz w:val="24"/>
          <w:lang w:val="en-GB"/>
        </w:rPr>
        <w:t>Kind regards,</w:t>
      </w:r>
    </w:p>
    <w:p>
      <w:pPr>
        <w:pStyle w:val="Normal"/>
        <w:spacing w:lineRule="auto" w:line="360"/>
        <w:ind w:start="567" w:end="708"/>
        <w:rPr>
          <w:sz w:val="24"/>
          <w:lang w:val="en-GB"/>
        </w:rPr>
      </w:pPr>
      <w:r>
        <w:rPr>
          <w:sz w:val="24"/>
          <w:lang w:val="en-GB"/>
        </w:rPr>
      </w:r>
    </w:p>
    <w:p>
      <w:pPr>
        <w:pStyle w:val="Normal"/>
        <w:spacing w:lineRule="auto" w:line="360"/>
        <w:ind w:firstLine="707" w:start="1417" w:end="708"/>
        <w:rPr>
          <w:sz w:val="24"/>
          <w:lang w:val="en-GB"/>
        </w:rPr>
      </w:pPr>
      <w:r>
        <w:rPr>
          <w:sz w:val="24"/>
          <w:lang w:val="en-GB"/>
        </w:rPr>
        <w:t>Marcelo Armas</w:t>
      </w:r>
    </w:p>
    <w:sectPr>
      <w:headerReference w:type="default" r:id="rId2"/>
      <w:headerReference w:type="first" r:id="rId3"/>
      <w:footerReference w:type="default" r:id="rId4"/>
      <w:footerReference w:type="first" r:id="rId5"/>
      <w:type w:val="nextPage"/>
      <w:pgSz w:w="12240" w:h="15840"/>
      <w:pgMar w:left="993" w:right="900" w:gutter="0" w:header="720" w:top="1418" w:footer="720"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Janson Tex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s-CL"/>
      </w:rPr>
    </w:pPr>
    <w:r>
      <w:rPr>
        <w:lang w:val="es-CL"/>
      </w:rPr>
    </w:r>
  </w:p>
  <w:p>
    <w:pPr>
      <w:pStyle w:val="Footer"/>
      <w:rPr>
        <w:lang w:val="es-CL"/>
      </w:rPr>
    </w:pPr>
    <w:r>
      <w:rPr>
        <w:lang w:val="es-CL"/>
      </w:rPr>
    </w:r>
  </w:p>
  <w:p>
    <w:pPr>
      <w:pStyle w:val="Footer"/>
      <w:rPr>
        <w:lang w:val="es-CL"/>
      </w:rPr>
    </w:pPr>
    <w:r>
      <w:rPr>
        <w:lang w:val="es-CL"/>
      </w:rPr>
    </w:r>
  </w:p>
  <w:p>
    <w:pPr>
      <w:pStyle w:val="Footer"/>
      <w:rPr>
        <w:lang w:val="es-CL"/>
      </w:rPr>
    </w:pPr>
    <w:r>
      <w:rPr>
        <w:lang w:val="es-C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504"/>
        <w:tab w:val="left" w:pos="709" w:leader="none"/>
        <w:tab w:val="left" w:pos="3261" w:leader="none"/>
        <w:tab w:val="center" w:pos="4252" w:leader="none"/>
        <w:tab w:val="left" w:pos="5954" w:leader="none"/>
        <w:tab w:val="left" w:pos="8789" w:leader="none"/>
      </w:tabs>
      <w:rPr>
        <w:rFonts w:ascii="Janson Text" w:hAnsi="Janson Text" w:cs="Janson Text"/>
        <w:sz w:val="16"/>
      </w:rPr>
    </w:pPr>
    <w:r>
      <w:rPr>
        <w:rFonts w:cs="Janson Text" w:ascii="Janson Text" w:hAnsi="Janson Text"/>
        <w:sz w:val="16"/>
      </w:rPr>
    </w:r>
  </w:p>
  <w:p>
    <w:pPr>
      <w:pStyle w:val="Footer"/>
      <w:tabs>
        <w:tab w:val="clear" w:pos="8504"/>
        <w:tab w:val="left" w:pos="709" w:leader="none"/>
        <w:tab w:val="left" w:pos="3261" w:leader="none"/>
        <w:tab w:val="center" w:pos="4252" w:leader="none"/>
        <w:tab w:val="left" w:pos="5954" w:leader="none"/>
        <w:tab w:val="left" w:pos="8789" w:leader="none"/>
      </w:tabs>
      <w:rPr>
        <w:rFonts w:ascii="Janson Text" w:hAnsi="Janson Text" w:cs="Janson Text"/>
        <w:sz w:val="16"/>
      </w:rPr>
    </w:pPr>
    <w:r>
      <w:rPr>
        <w:rFonts w:cs="Janson Text" w:ascii="Janson Text" w:hAnsi="Janson Text"/>
        <w:sz w:val="16"/>
      </w:rPr>
    </w:r>
  </w:p>
  <w:p>
    <w:pPr>
      <w:pStyle w:val="Footer"/>
      <w:tabs>
        <w:tab w:val="clear" w:pos="8504"/>
        <w:tab w:val="left" w:pos="709" w:leader="none"/>
        <w:tab w:val="left" w:pos="3261" w:leader="none"/>
        <w:tab w:val="center" w:pos="4252" w:leader="none"/>
        <w:tab w:val="left" w:pos="5954" w:leader="none"/>
        <w:tab w:val="left" w:pos="8789" w:leader="none"/>
      </w:tabs>
      <w:rPr>
        <w:rFonts w:ascii="Janson Text" w:hAnsi="Janson Text" w:cs="Janson Text"/>
        <w:sz w:val="16"/>
      </w:rPr>
    </w:pPr>
    <w:r>
      <w:rPr>
        <w:rFonts w:cs="Janson Text" w:ascii="Janson Text" w:hAnsi="Janson Text"/>
        <w:sz w:val="16"/>
      </w:rPr>
      <w:t>Moneda 970, piso 12</w:t>
      <w:tab/>
      <w:t>Teléfono Central</w:t>
      <w:tab/>
      <w:t>Fax Central</w:t>
      <w:tab/>
      <w:t>E-Mail Central</w:t>
    </w:r>
  </w:p>
  <w:p>
    <w:pPr>
      <w:pStyle w:val="Footer"/>
      <w:tabs>
        <w:tab w:val="clear" w:pos="8504"/>
        <w:tab w:val="left" w:pos="709" w:leader="none"/>
        <w:tab w:val="left" w:pos="3261" w:leader="none"/>
        <w:tab w:val="center" w:pos="4252" w:leader="none"/>
        <w:tab w:val="left" w:pos="5954" w:leader="none"/>
        <w:tab w:val="left" w:pos="8789" w:leader="none"/>
      </w:tabs>
      <w:rPr>
        <w:rFonts w:ascii="Janson Text" w:hAnsi="Janson Text" w:cs="Janson Text"/>
        <w:sz w:val="14"/>
      </w:rPr>
    </w:pPr>
    <w:r>
      <w:rPr>
        <w:rFonts w:cs="Janson Text" w:ascii="Janson Text" w:hAnsi="Janson Text"/>
        <w:sz w:val="16"/>
      </w:rPr>
      <w:t>Santiago, C.P. 6500710</w:t>
      <w:tab/>
      <w:t>(56 2) 364 3700</w:t>
      <w:tab/>
      <w:t>(56 2) 364 3796</w:t>
      <w:tab/>
      <w:t>philippi</w:t>
    </w:r>
    <w:r>
      <w:rPr>
        <w:rFonts w:cs="Janson Text" w:ascii="Janson Text" w:hAnsi="Janson Text"/>
        <w:color w:val="000000"/>
        <w:sz w:val="16"/>
      </w:rPr>
      <w:t>@philippi.cl</w:t>
    </w:r>
  </w:p>
  <w:p>
    <w:pPr>
      <w:pStyle w:val="Footer"/>
      <w:tabs>
        <w:tab w:val="clear" w:pos="8504"/>
        <w:tab w:val="left" w:pos="709" w:leader="none"/>
        <w:tab w:val="left" w:pos="3261" w:leader="none"/>
        <w:tab w:val="center" w:pos="4252" w:leader="none"/>
        <w:tab w:val="left" w:pos="5954" w:leader="none"/>
        <w:tab w:val="left" w:pos="8789" w:leader="none"/>
      </w:tabs>
      <w:rPr/>
    </w:pPr>
    <w:r>
      <w:rPr>
        <w:rFonts w:cs="Janson Text" w:ascii="Janson Text" w:hAnsi="Janson Text"/>
        <w:sz w:val="16"/>
      </w:rPr>
      <w:t>Chile</w:t>
    </w:r>
    <w:r>
      <w:rPr>
        <w:rFonts w:cs="Janson Text" w:ascii="Janson Text" w:hAnsi="Janson Text"/>
        <w:sz w:val="14"/>
      </w:rPr>
      <w:tab/>
      <w:tab/>
      <w:tab/>
      <w:tab/>
      <w:tab/>
      <w:t xml:space="preserve"> </w:t>
    </w:r>
    <w:r>
      <w:rPr>
        <w:rFonts w:cs="Janson Text" w:ascii="Janson Text" w:hAnsi="Janson Text"/>
        <w:sz w:val="16"/>
      </w:rPr>
      <w:t>www.philippi.cl</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Janson Text" w:hAnsi="Janson Text" w:cs="Janson Text"/>
        <w:sz w:val="26"/>
      </w:rPr>
    </w:pPr>
    <w:r>
      <w:rPr>
        <w:rFonts w:cs="Janson Text" w:ascii="Janson Text" w:hAnsi="Janson Text"/>
        <w:sz w:val="26"/>
      </w:rPr>
      <w:t>PHILIPPI, YRARRAZAVAL, PULIDO &amp; BRUNNER</w:t>
    </w:r>
  </w:p>
  <w:p>
    <w:pPr>
      <w:pStyle w:val="Header"/>
      <w:jc w:val="center"/>
      <w:rPr>
        <w:rFonts w:ascii="Janson Text" w:hAnsi="Janson Text" w:cs="Janson Text"/>
        <w:sz w:val="26"/>
      </w:rPr>
    </w:pPr>
    <w:r>
      <w:rPr>
        <w:rFonts w:cs="Janson Text" w:ascii="Janson Text" w:hAnsi="Janson Text"/>
        <w:sz w:val="26"/>
      </w:rPr>
    </w:r>
    <w:r>
      <mc:AlternateContent>
        <mc:Choice Requires="wps">
          <w:drawing>
            <wp:anchor behindDoc="0" distT="0" distB="0" distL="0" distR="0" simplePos="0" locked="0" layoutInCell="0" allowOverlap="1" relativeHeight="7">
              <wp:simplePos x="0" y="0"/>
              <wp:positionH relativeFrom="page">
                <wp:posOffset>3841115</wp:posOffset>
              </wp:positionH>
              <wp:positionV relativeFrom="paragraph">
                <wp:posOffset>163830</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12.9pt;mso-position-vertical-relative:text;margin-left:302.45pt;mso-position-horizontal-relative:page">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Header"/>
      <w:jc w:val="center"/>
      <w:rPr>
        <w:rFonts w:ascii="Janson Text" w:hAnsi="Janson Text" w:cs="Janson Text"/>
        <w:sz w:val="26"/>
      </w:rPr>
    </w:pPr>
    <w:r>
      <w:rPr>
        <w:rFonts w:cs="Janson Text" w:ascii="Janson Text" w:hAnsi="Janson Text"/>
        <w:sz w:val="26"/>
      </w:rPr>
    </w:r>
  </w:p>
  <w:p>
    <w:pPr>
      <w:pStyle w:val="Header"/>
      <w:jc w:val="center"/>
      <w:rPr>
        <w:rFonts w:ascii="Janson Text" w:hAnsi="Janson Text" w:cs="Janson Text"/>
        <w:sz w:val="26"/>
      </w:rPr>
    </w:pPr>
    <w:r>
      <w:rPr>
        <w:rFonts w:cs="Janson Text" w:ascii="Janson Text" w:hAnsi="Janson Text"/>
        <w:sz w:val="26"/>
      </w:rPr>
    </w:r>
  </w:p>
  <w:p>
    <w:pPr>
      <w:pStyle w:val="Header"/>
      <w:jc w:val="center"/>
      <w:rPr>
        <w:rFonts w:ascii="Janson Text" w:hAnsi="Janson Text" w:cs="Janson Text"/>
        <w:sz w:val="26"/>
      </w:rPr>
    </w:pPr>
    <w:r>
      <w:rPr>
        <w:rFonts w:cs="Janson Text" w:ascii="Janson Text" w:hAnsi="Janson Text"/>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709" w:start="709" w:end="0"/>
      <w:jc w:val="center"/>
      <w:rPr>
        <w:rFonts w:ascii="Janson Text" w:hAnsi="Janson Text" w:cs="Janson Text"/>
        <w:sz w:val="26"/>
      </w:rPr>
    </w:pPr>
    <w:r>
      <w:rPr>
        <w:rFonts w:cs="Janson Text" w:ascii="Janson Text" w:hAnsi="Janson Text"/>
        <w:sz w:val="26"/>
      </w:rPr>
      <w:t>PHILIPPI, YRARRAZAVAL, PULIDO &amp; BRUNNER</w:t>
    </w:r>
  </w:p>
  <w:p>
    <w:pPr>
      <w:pStyle w:val="Header"/>
      <w:tabs>
        <w:tab w:val="clear" w:pos="8504"/>
        <w:tab w:val="left" w:pos="709" w:leader="none"/>
        <w:tab w:val="center" w:pos="4252" w:leader="none"/>
        <w:tab w:val="right" w:pos="8364" w:leader="none"/>
      </w:tabs>
      <w:rPr>
        <w:rFonts w:ascii="Janson Text" w:hAnsi="Janson Text" w:cs="Janson Text"/>
        <w:sz w:val="26"/>
      </w:rPr>
    </w:pPr>
    <w:r>
      <w:rPr>
        <w:rFonts w:eastAsia="Janson Text" w:cs="Janson Text" w:ascii="Janson Text" w:hAnsi="Janson Text"/>
        <w:sz w:val="26"/>
      </w:rPr>
      <w:t xml:space="preserve">          </w:t>
    </w:r>
    <w:r>
      <w:rPr>
        <w:rFonts w:cs="Janson Text" w:ascii="Janson Text" w:hAnsi="Janson Text"/>
        <w:sz w:val="26"/>
      </w:rPr>
      <w:t>__________________________                                __________________________</w:t>
    </w:r>
  </w:p>
  <w:p>
    <w:pPr>
      <w:pStyle w:val="Header"/>
      <w:jc w:val="center"/>
      <w:rPr>
        <w:rFonts w:ascii="Janson Text" w:hAnsi="Janson Text" w:cs="Janson Text"/>
        <w:spacing w:val="40"/>
        <w:sz w:val="36"/>
        <w:vertAlign w:val="superscript"/>
      </w:rPr>
    </w:pPr>
    <w:r>
      <w:rPr>
        <w:rFonts w:cs="Janson Text" w:ascii="Janson Text" w:hAnsi="Janson Text"/>
        <w:spacing w:val="100"/>
        <w:sz w:val="32"/>
        <w:vertAlign w:val="superscript"/>
      </w:rPr>
      <w:t>ABOGADOS</w:t>
    </w:r>
  </w:p>
  <w:p>
    <w:pPr>
      <w:pStyle w:val="Normal"/>
      <w:tabs>
        <w:tab w:val="clear" w:pos="708"/>
        <w:tab w:val="left" w:pos="3261" w:leader="none"/>
        <w:tab w:val="left" w:pos="5954" w:leader="none"/>
      </w:tabs>
      <w:spacing w:lineRule="atLeast" w:line="180"/>
      <w:ind w:start="709" w:end="0"/>
      <w:rPr/>
    </w:pPr>
    <w:r>
      <w:rPr>
        <w:color w:val="000000"/>
        <w:sz w:val="14"/>
      </w:rPr>
      <w:t xml:space="preserve">Raúl Yrarrázaval L.                                </w:t>
      <w:tab/>
      <w:t>Fernando Silva P.</w:t>
      <w:tab/>
      <w:t>Eduardo Morales R.</w:t>
      <w:tab/>
      <w:tab/>
    </w:r>
    <w:r>
      <w:rPr>
        <w:sz w:val="14"/>
      </w:rPr>
      <w:t>Oscar Corvalán A.</w:t>
    </w:r>
  </w:p>
  <w:p>
    <w:pPr>
      <w:pStyle w:val="Normal"/>
      <w:tabs>
        <w:tab w:val="clear" w:pos="708"/>
        <w:tab w:val="left" w:pos="2268" w:leader="none"/>
        <w:tab w:val="left" w:pos="3261" w:leader="none"/>
        <w:tab w:val="left" w:pos="5954" w:leader="none"/>
        <w:tab w:val="left" w:pos="7655" w:leader="none"/>
      </w:tabs>
      <w:spacing w:lineRule="atLeast" w:line="180"/>
      <w:rPr>
        <w:sz w:val="14"/>
      </w:rPr>
    </w:pPr>
    <w:r>
      <w:rPr>
        <w:sz w:val="14"/>
      </w:rPr>
      <w:tab/>
      <w:tab/>
      <w:t>Raimundo Gazitúa L.</w:t>
      <w:tab/>
      <w:t>Andrés Sanfuentes A.</w:t>
      <w:tab/>
      <w:tab/>
      <w:tab/>
      <w:t>Federico Grebe L.</w:t>
    </w:r>
  </w:p>
  <w:p>
    <w:pPr>
      <w:pStyle w:val="Normal"/>
      <w:tabs>
        <w:tab w:val="clear" w:pos="708"/>
        <w:tab w:val="left" w:pos="2268" w:leader="none"/>
        <w:tab w:val="left" w:pos="3261" w:leader="none"/>
        <w:tab w:val="left" w:pos="5954" w:leader="none"/>
      </w:tabs>
      <w:spacing w:lineRule="atLeast" w:line="180"/>
      <w:ind w:firstLine="708" w:end="0"/>
      <w:rPr>
        <w:sz w:val="14"/>
      </w:rPr>
    </w:pPr>
    <w:r>
      <w:rPr>
        <w:sz w:val="14"/>
      </w:rPr>
      <w:t>Helmut Brunner N.</w:t>
      <w:tab/>
      <w:tab/>
      <w:t>Juan Pablo Román R.</w:t>
      <w:tab/>
      <w:t>Marcelo Armas M.</w:t>
      <w:tab/>
      <w:tab/>
      <w:tab/>
      <w:t>José Ignacio Díaz V.</w:t>
    </w:r>
  </w:p>
  <w:p>
    <w:pPr>
      <w:pStyle w:val="Normal"/>
      <w:tabs>
        <w:tab w:val="clear" w:pos="708"/>
        <w:tab w:val="left" w:pos="3261" w:leader="none"/>
        <w:tab w:val="left" w:pos="5954" w:leader="none"/>
      </w:tabs>
      <w:spacing w:lineRule="atLeast" w:line="180"/>
      <w:ind w:firstLine="708" w:end="0"/>
      <w:rPr>
        <w:sz w:val="14"/>
      </w:rPr>
    </w:pPr>
    <w:r>
      <w:rPr>
        <w:sz w:val="14"/>
      </w:rPr>
      <w:t>Cristián Cox P.</w:t>
      <w:tab/>
      <w:t>Ernesto Palacios L.</w:t>
      <w:tab/>
      <w:t>Alvaro Anríquez N.</w:t>
      <w:tab/>
      <w:tab/>
      <w:tab/>
      <w:t>Felipe Montero B.</w:t>
    </w:r>
  </w:p>
  <w:p>
    <w:pPr>
      <w:pStyle w:val="Normal"/>
      <w:tabs>
        <w:tab w:val="clear" w:pos="708"/>
        <w:tab w:val="left" w:pos="3261" w:leader="none"/>
        <w:tab w:val="left" w:pos="5954" w:leader="none"/>
      </w:tabs>
      <w:spacing w:lineRule="atLeast" w:line="180"/>
      <w:ind w:firstLine="708" w:end="0"/>
      <w:rPr>
        <w:sz w:val="14"/>
      </w:rPr>
    </w:pPr>
    <w:r>
      <w:rPr>
        <w:sz w:val="14"/>
      </w:rPr>
      <w:t>Laura Novoa V.</w:t>
      <w:tab/>
      <w:t>Juan Irarrázabal C.</w:t>
      <w:tab/>
      <w:t>Luis Carlos Valdés C.</w:t>
      <w:tab/>
      <w:tab/>
      <w:t>Alejandro Ruiz F.</w:t>
    </w:r>
  </w:p>
  <w:p>
    <w:pPr>
      <w:pStyle w:val="Normal"/>
      <w:tabs>
        <w:tab w:val="clear" w:pos="708"/>
        <w:tab w:val="left" w:pos="3261" w:leader="none"/>
        <w:tab w:val="left" w:pos="5954" w:leader="none"/>
      </w:tabs>
      <w:spacing w:lineRule="atLeast" w:line="180"/>
      <w:ind w:firstLine="708" w:end="0"/>
      <w:rPr/>
    </w:pPr>
    <w:r>
      <w:rPr>
        <w:sz w:val="14"/>
      </w:rPr>
      <w:t>Gerardo Scheffelt C.</w:t>
      <w:tab/>
      <w:t>Luz María Jordán A.</w:t>
      <w:tab/>
    </w:r>
    <w:r>
      <w:rPr>
        <w:color w:val="000000"/>
        <w:sz w:val="14"/>
      </w:rPr>
      <w:t>Felipe Irarrázabal Ph.</w:t>
    </w:r>
    <w:r>
      <w:rPr>
        <w:sz w:val="14"/>
      </w:rPr>
      <w:tab/>
      <w:tab/>
      <w:t>M. Angélica Martin C.</w:t>
    </w:r>
  </w:p>
  <w:p>
    <w:pPr>
      <w:pStyle w:val="Normal"/>
      <w:tabs>
        <w:tab w:val="clear" w:pos="708"/>
        <w:tab w:val="left" w:pos="3261" w:leader="none"/>
        <w:tab w:val="left" w:pos="5954" w:leader="none"/>
        <w:tab w:val="left" w:pos="7655" w:leader="none"/>
      </w:tabs>
      <w:spacing w:lineRule="atLeast" w:line="180"/>
      <w:ind w:firstLine="708" w:end="0"/>
      <w:rPr>
        <w:sz w:val="14"/>
      </w:rPr>
    </w:pPr>
    <w:r>
      <w:rPr>
        <w:sz w:val="14"/>
      </w:rPr>
      <w:t>Jaime Castro B.</w:t>
      <w:tab/>
      <w:t>Juan Francisco Gutiérrez I.</w:t>
      <w:tab/>
      <w:t>Roberto Peralta M.</w:t>
      <w:tab/>
      <w:tab/>
      <w:tab/>
      <w:t>Guillermo Infante C.</w:t>
    </w:r>
  </w:p>
  <w:p>
    <w:pPr>
      <w:pStyle w:val="Normal"/>
      <w:tabs>
        <w:tab w:val="clear" w:pos="708"/>
        <w:tab w:val="left" w:pos="3261" w:leader="none"/>
        <w:tab w:val="left" w:pos="5954" w:leader="none"/>
      </w:tabs>
      <w:spacing w:lineRule="atLeast" w:line="180"/>
      <w:ind w:firstLine="708" w:end="0"/>
      <w:rPr/>
    </w:pPr>
    <w:r>
      <w:rPr>
        <w:sz w:val="14"/>
      </w:rPr>
      <w:t>Jaime Irarrázabal C.</w:t>
      <w:tab/>
    </w:r>
    <w:r>
      <w:rPr>
        <w:color w:val="000000"/>
        <w:sz w:val="14"/>
      </w:rPr>
      <w:t>Juan Ignacio Lira V.</w:t>
    </w:r>
    <w:r>
      <w:rPr>
        <w:sz w:val="14"/>
      </w:rPr>
      <w:tab/>
      <w:t>Alberto Pulido A.</w:t>
      <w:tab/>
      <w:tab/>
      <w:tab/>
      <w:t>Magdalena Matte S.</w:t>
    </w:r>
  </w:p>
  <w:p>
    <w:pPr>
      <w:pStyle w:val="Normal"/>
      <w:tabs>
        <w:tab w:val="clear" w:pos="708"/>
        <w:tab w:val="left" w:pos="3261" w:leader="none"/>
        <w:tab w:val="left" w:pos="5954" w:leader="none"/>
      </w:tabs>
      <w:spacing w:lineRule="atLeast" w:line="180"/>
      <w:ind w:start="709" w:end="0"/>
      <w:rPr>
        <w:rFonts w:ascii="Janson Text" w:hAnsi="Janson Text" w:cs="Janson Text"/>
        <w:sz w:val="14"/>
      </w:rPr>
    </w:pPr>
    <w:r>
      <w:rPr>
        <w:sz w:val="14"/>
      </w:rPr>
      <w:t xml:space="preserve">Alberto Pulido C. </w:t>
      <w:tab/>
      <w:t xml:space="preserve">Pablo Román G-L. </w:t>
      <w:tab/>
      <w:t>Alejandro Farías K.</w:t>
      <w:tab/>
      <w:tab/>
      <w:tab/>
      <w:t>Juan Pablo Wilhelmy G.</w:t>
    </w:r>
  </w:p>
  <w:p>
    <w:pPr>
      <w:pStyle w:val="Normal"/>
      <w:tabs>
        <w:tab w:val="clear" w:pos="708"/>
        <w:tab w:val="left" w:pos="3261" w:leader="none"/>
        <w:tab w:val="left" w:pos="5954" w:leader="none"/>
      </w:tabs>
      <w:spacing w:lineRule="atLeast" w:line="180"/>
      <w:ind w:start="709" w:end="0"/>
      <w:rPr>
        <w:rFonts w:ascii="Janson Text" w:hAnsi="Janson Text" w:cs="Janson Text"/>
        <w:sz w:val="14"/>
      </w:rPr>
    </w:pPr>
    <w:r>
      <w:rPr>
        <w:rFonts w:cs="Janson Text" w:ascii="Janson Text" w:hAnsi="Janson Text"/>
        <w:sz w:val="14"/>
      </w:rPr>
      <w:tab/>
      <w:t>Juan Paulo Bambach S.</w:t>
      <w:tab/>
    </w:r>
    <w:r>
      <w:rPr>
        <w:sz w:val="14"/>
      </w:rPr>
      <w:t>Daniel Silva G.</w:t>
    </w:r>
  </w:p>
  <w:p>
    <w:pPr>
      <w:pStyle w:val="Header"/>
      <w:rPr>
        <w:rFonts w:ascii="Janson Text" w:hAnsi="Janson Text" w:cs="Janson Text"/>
        <w:sz w:val="14"/>
      </w:rPr>
    </w:pPr>
    <w:r>
      <w:rPr>
        <w:rFonts w:cs="Janson Text" w:ascii="Janson Text" w:hAnsi="Janson Text"/>
        <w:sz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decimal"/>
      <w:suff w:val="nothing"/>
      <w:lvlText w:val="%3"/>
      <w:lvlJc w:val="start"/>
      <w:pPr>
        <w:tabs>
          <w:tab w:val="num" w:pos="0"/>
        </w:tabs>
        <w:ind w:start="0" w:hanging="0"/>
      </w:pPr>
    </w:lvl>
    <w:lvl w:ilvl="3">
      <w:start w:val="1"/>
      <w:numFmt w:val="lowerLetter"/>
      <w:suff w:val="nothing"/>
      <w:lvlText w:val="(%4)"/>
      <w:lvlJc w:val="start"/>
      <w:pPr>
        <w:tabs>
          <w:tab w:val="num" w:pos="0"/>
        </w:tabs>
        <w:ind w:start="0" w:hanging="0"/>
      </w:pPr>
    </w:lvl>
    <w:lvl w:ilvl="4">
      <w:start w:val="1"/>
      <w:numFmt w:val="lowerRoman"/>
      <w:suff w:val="nothing"/>
      <w:lvlText w:val="(%5)"/>
      <w:lvlJc w:val="start"/>
      <w:pPr>
        <w:tabs>
          <w:tab w:val="num" w:pos="0"/>
        </w:tabs>
        <w:ind w:start="0" w:hanging="0"/>
      </w:pPr>
    </w:lvl>
    <w:lvl w:ilvl="5">
      <w:start w:val="1"/>
      <w:numFmt w:val="upperLetter"/>
      <w:suff w:val="nothing"/>
      <w:lvlText w:val="(%6)"/>
      <w:lvlJc w:val="start"/>
      <w:pPr>
        <w:tabs>
          <w:tab w:val="num" w:pos="0"/>
        </w:tabs>
        <w:ind w:start="0" w:hanging="0"/>
      </w:pPr>
    </w:lvl>
    <w:lvl w:ilvl="6">
      <w:start w:val="1"/>
      <w:numFmt w:val="decimal"/>
      <w:suff w:val="nothing"/>
      <w:lvlText w:val="(%7)"/>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suff w:val="nothing"/>
      <w:lvlText w:val="%9)"/>
      <w:lvlJc w:val="start"/>
      <w:pPr>
        <w:tabs>
          <w:tab w:val="num" w:pos="0"/>
        </w:tabs>
        <w:ind w:start="0" w:hanging="0"/>
      </w:pPr>
    </w:lvl>
  </w:abstractNum>
  <w:abstractNum w:abstractNumId="3">
    <w:lvl w:ilvl="0">
      <w:start w:val="4"/>
      <w:numFmt w:val="decimal"/>
      <w:lvlText w:val="%1"/>
      <w:lvlJc w:val="start"/>
      <w:pPr>
        <w:tabs>
          <w:tab w:val="num" w:pos="570"/>
        </w:tabs>
        <w:ind w:start="570" w:hanging="570"/>
      </w:pPr>
      <w:rPr>
        <w:b/>
      </w:rPr>
    </w:lvl>
    <w:lvl w:ilvl="1">
      <w:start w:val="1"/>
      <w:numFmt w:val="decimal"/>
      <w:lvlText w:val="%1.%2"/>
      <w:lvlJc w:val="start"/>
      <w:pPr>
        <w:tabs>
          <w:tab w:val="num" w:pos="570"/>
        </w:tabs>
        <w:ind w:start="570" w:hanging="57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
    <w:lvl w:ilvl="0">
      <w:start w:val="2"/>
      <w:numFmt w:val="decimal"/>
      <w:lvlText w:val="%1."/>
      <w:lvlJc w:val="start"/>
      <w:pPr>
        <w:tabs>
          <w:tab w:val="num" w:pos="705"/>
        </w:tabs>
        <w:ind w:start="705" w:hanging="705"/>
      </w:pPr>
      <w:rPr>
        <w:b/>
      </w:rPr>
    </w:lvl>
    <w:lvl w:ilvl="1">
      <w:start w:val="2"/>
      <w:numFmt w:val="decimal"/>
      <w:lvlText w:val="%1.%2."/>
      <w:lvlJc w:val="start"/>
      <w:pPr>
        <w:tabs>
          <w:tab w:val="num" w:pos="705"/>
        </w:tabs>
        <w:ind w:start="705" w:hanging="705"/>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5">
    <w:lvl w:ilvl="0">
      <w:start w:val="7"/>
      <w:numFmt w:val="decimal"/>
      <w:lvlText w:val="%1"/>
      <w:lvlJc w:val="start"/>
      <w:pPr>
        <w:tabs>
          <w:tab w:val="num" w:pos="360"/>
        </w:tabs>
        <w:ind w:start="360" w:hanging="360"/>
      </w:pPr>
      <w:rPr>
        <w:sz w:val="24"/>
        <w:b/>
      </w:rPr>
    </w:lvl>
    <w:lvl w:ilvl="1">
      <w:start w:val="1"/>
      <w:numFmt w:val="decimal"/>
      <w:lvlText w:val="%1.%2"/>
      <w:lvlJc w:val="start"/>
      <w:pPr>
        <w:tabs>
          <w:tab w:val="num" w:pos="360"/>
        </w:tabs>
        <w:ind w:start="360" w:hanging="360"/>
      </w:pPr>
      <w:rPr>
        <w:sz w:val="24"/>
        <w:b/>
      </w:rPr>
    </w:lvl>
    <w:lvl w:ilvl="2">
      <w:start w:val="1"/>
      <w:numFmt w:val="decimal"/>
      <w:lvlText w:val="%1.%2.%3"/>
      <w:lvlJc w:val="start"/>
      <w:pPr>
        <w:tabs>
          <w:tab w:val="num" w:pos="720"/>
        </w:tabs>
        <w:ind w:start="720" w:hanging="720"/>
      </w:pPr>
      <w:rPr>
        <w:sz w:val="24"/>
        <w:b/>
      </w:rPr>
    </w:lvl>
    <w:lvl w:ilvl="3">
      <w:start w:val="1"/>
      <w:numFmt w:val="decimal"/>
      <w:lvlText w:val="%1.%2.%3.%4"/>
      <w:lvlJc w:val="start"/>
      <w:pPr>
        <w:tabs>
          <w:tab w:val="num" w:pos="720"/>
        </w:tabs>
        <w:ind w:start="720" w:hanging="720"/>
      </w:pPr>
      <w:rPr>
        <w:sz w:val="24"/>
        <w:b/>
      </w:rPr>
    </w:lvl>
    <w:lvl w:ilvl="4">
      <w:start w:val="1"/>
      <w:numFmt w:val="decimal"/>
      <w:lvlText w:val="%1.%2.%3.%4.%5"/>
      <w:lvlJc w:val="start"/>
      <w:pPr>
        <w:tabs>
          <w:tab w:val="num" w:pos="720"/>
        </w:tabs>
        <w:ind w:start="720" w:hanging="720"/>
      </w:pPr>
      <w:rPr>
        <w:sz w:val="24"/>
        <w:b/>
      </w:rPr>
    </w:lvl>
    <w:lvl w:ilvl="5">
      <w:start w:val="1"/>
      <w:numFmt w:val="decimal"/>
      <w:lvlText w:val="%1.%2.%3.%4.%5.%6"/>
      <w:lvlJc w:val="start"/>
      <w:pPr>
        <w:tabs>
          <w:tab w:val="num" w:pos="1080"/>
        </w:tabs>
        <w:ind w:start="1080" w:hanging="1080"/>
      </w:pPr>
      <w:rPr>
        <w:sz w:val="24"/>
        <w:b/>
      </w:rPr>
    </w:lvl>
    <w:lvl w:ilvl="6">
      <w:start w:val="1"/>
      <w:numFmt w:val="decimal"/>
      <w:lvlText w:val="%1.%2.%3.%4.%5.%6.%7"/>
      <w:lvlJc w:val="start"/>
      <w:pPr>
        <w:tabs>
          <w:tab w:val="num" w:pos="1080"/>
        </w:tabs>
        <w:ind w:start="1080" w:hanging="1080"/>
      </w:pPr>
      <w:rPr>
        <w:sz w:val="24"/>
        <w:b/>
      </w:rPr>
    </w:lvl>
    <w:lvl w:ilvl="7">
      <w:start w:val="1"/>
      <w:numFmt w:val="decimal"/>
      <w:lvlText w:val="%1.%2.%3.%4.%5.%6.%7.%8"/>
      <w:lvlJc w:val="start"/>
      <w:pPr>
        <w:tabs>
          <w:tab w:val="num" w:pos="1440"/>
        </w:tabs>
        <w:ind w:start="1440" w:hanging="1440"/>
      </w:pPr>
      <w:rPr>
        <w:sz w:val="24"/>
        <w:b/>
      </w:rPr>
    </w:lvl>
    <w:lvl w:ilvl="8">
      <w:start w:val="1"/>
      <w:numFmt w:val="decimal"/>
      <w:lvlText w:val="%1.%2.%3.%4.%5.%6.%7.%8.%9"/>
      <w:lvlJc w:val="start"/>
      <w:pPr>
        <w:tabs>
          <w:tab w:val="num" w:pos="1440"/>
        </w:tabs>
        <w:ind w:start="1440" w:hanging="1440"/>
      </w:pPr>
      <w:rPr>
        <w:sz w:val="24"/>
        <w:b/>
      </w:rPr>
    </w:lvl>
  </w:abstractNum>
  <w:abstractNum w:abstractNumId="6">
    <w:lvl w:ilvl="0">
      <w:start w:val="5"/>
      <w:numFmt w:val="decimal"/>
      <w:lvlText w:val="%1"/>
      <w:lvlJc w:val="start"/>
      <w:pPr>
        <w:tabs>
          <w:tab w:val="num" w:pos="570"/>
        </w:tabs>
        <w:ind w:start="570" w:hanging="570"/>
      </w:pPr>
      <w:rPr/>
    </w:lvl>
    <w:lvl w:ilvl="1">
      <w:start w:val="1"/>
      <w:numFmt w:val="decimal"/>
      <w:lvlText w:val="%1.%2"/>
      <w:lvlJc w:val="start"/>
      <w:pPr>
        <w:tabs>
          <w:tab w:val="num" w:pos="570"/>
        </w:tabs>
        <w:ind w:start="570" w:hanging="57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6"/>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9"/>
      <w:numFmt w:val="decimal"/>
      <w:lvlText w:val="%1."/>
      <w:lvlJc w:val="start"/>
      <w:pPr>
        <w:tabs>
          <w:tab w:val="num" w:pos="1407"/>
        </w:tabs>
        <w:ind w:start="1407" w:hanging="840"/>
      </w:pPr>
      <w:rPr/>
    </w:lvl>
    <w:lvl w:ilvl="1">
      <w:start w:val="1"/>
      <w:isLgl/>
      <w:numFmt w:val="decimal"/>
      <w:lvlText w:val="%1.%2"/>
      <w:lvlJc w:val="start"/>
      <w:pPr>
        <w:tabs>
          <w:tab w:val="num" w:pos="927"/>
        </w:tabs>
        <w:ind w:start="927" w:hanging="360"/>
      </w:pPr>
      <w:rPr/>
    </w:lvl>
    <w:lvl w:ilvl="2">
      <w:start w:val="1"/>
      <w:isLgl/>
      <w:numFmt w:val="decimal"/>
      <w:lvlText w:val="%1.%2.%3"/>
      <w:lvlJc w:val="start"/>
      <w:pPr>
        <w:tabs>
          <w:tab w:val="num" w:pos="1287"/>
        </w:tabs>
        <w:ind w:start="1287" w:hanging="720"/>
      </w:pPr>
      <w:rPr/>
    </w:lvl>
    <w:lvl w:ilvl="3">
      <w:start w:val="1"/>
      <w:isLgl/>
      <w:numFmt w:val="decimal"/>
      <w:lvlText w:val="%1.%2.%3.%4"/>
      <w:lvlJc w:val="start"/>
      <w:pPr>
        <w:tabs>
          <w:tab w:val="num" w:pos="1287"/>
        </w:tabs>
        <w:ind w:start="1287" w:hanging="720"/>
      </w:pPr>
      <w:rPr/>
    </w:lvl>
    <w:lvl w:ilvl="4">
      <w:start w:val="1"/>
      <w:isLgl/>
      <w:numFmt w:val="decimal"/>
      <w:lvlText w:val="%1.%2.%3.%4.%5"/>
      <w:lvlJc w:val="start"/>
      <w:pPr>
        <w:tabs>
          <w:tab w:val="num" w:pos="1647"/>
        </w:tabs>
        <w:ind w:start="1647" w:hanging="1080"/>
      </w:pPr>
      <w:rPr/>
    </w:lvl>
    <w:lvl w:ilvl="5">
      <w:start w:val="1"/>
      <w:isLgl/>
      <w:numFmt w:val="decimal"/>
      <w:lvlText w:val="%1.%2.%3.%4.%5.%6"/>
      <w:lvlJc w:val="start"/>
      <w:pPr>
        <w:tabs>
          <w:tab w:val="num" w:pos="1647"/>
        </w:tabs>
        <w:ind w:start="1647" w:hanging="1080"/>
      </w:pPr>
      <w:rPr/>
    </w:lvl>
    <w:lvl w:ilvl="6">
      <w:start w:val="1"/>
      <w:isLgl/>
      <w:numFmt w:val="decimal"/>
      <w:lvlText w:val="%1.%2.%3.%4.%5.%6.%7"/>
      <w:lvlJc w:val="start"/>
      <w:pPr>
        <w:tabs>
          <w:tab w:val="num" w:pos="2007"/>
        </w:tabs>
        <w:ind w:start="2007" w:hanging="1440"/>
      </w:pPr>
      <w:rPr/>
    </w:lvl>
    <w:lvl w:ilvl="7">
      <w:start w:val="1"/>
      <w:isLgl/>
      <w:numFmt w:val="decimal"/>
      <w:lvlText w:val="%1.%2.%3.%4.%5.%6.%7.%8"/>
      <w:lvlJc w:val="start"/>
      <w:pPr>
        <w:tabs>
          <w:tab w:val="num" w:pos="2007"/>
        </w:tabs>
        <w:ind w:start="2007" w:hanging="1440"/>
      </w:pPr>
      <w:rPr/>
    </w:lvl>
    <w:lvl w:ilvl="8">
      <w:start w:val="1"/>
      <w:isLgl/>
      <w:numFmt w:val="decimal"/>
      <w:lvlText w:val="%1.%2.%3.%4.%5.%6.%7.%8.%9"/>
      <w:lvlJc w:val="start"/>
      <w:pPr>
        <w:tabs>
          <w:tab w:val="num" w:pos="2367"/>
        </w:tabs>
        <w:ind w:start="2367" w:hanging="1800"/>
      </w:pPr>
      <w:rPr/>
    </w:lvl>
  </w:abstractNum>
  <w:abstractNum w:abstractNumId="9">
    <w:lvl w:ilvl="0">
      <w:start w:val="1"/>
      <w:numFmt w:val="lowerLetter"/>
      <w:lvlText w:val="(%1)"/>
      <w:lvlJc w:val="start"/>
      <w:pPr>
        <w:tabs>
          <w:tab w:val="num" w:pos="1410"/>
        </w:tabs>
        <w:ind w:start="1410" w:hanging="705"/>
      </w:pPr>
      <w:rPr/>
    </w:lvl>
  </w:abstractNum>
  <w:abstractNum w:abstractNumId="10">
    <w:lvl w:ilvl="0">
      <w:start w:val="9"/>
      <w:numFmt w:val="decimal"/>
      <w:lvlText w:val="%1"/>
      <w:lvlJc w:val="start"/>
      <w:pPr>
        <w:tabs>
          <w:tab w:val="num" w:pos="705"/>
        </w:tabs>
        <w:ind w:start="705" w:hanging="705"/>
      </w:pPr>
      <w:rPr>
        <w:b/>
      </w:rPr>
    </w:lvl>
    <w:lvl w:ilvl="1">
      <w:start w:val="1"/>
      <w:numFmt w:val="decimal"/>
      <w:lvlText w:val="%1.%2"/>
      <w:lvlJc w:val="start"/>
      <w:pPr>
        <w:tabs>
          <w:tab w:val="num" w:pos="705"/>
        </w:tabs>
        <w:ind w:start="705" w:hanging="705"/>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eastAsia="zh-CN" w:bidi="hi-IN"/>
    </w:rPr>
  </w:style>
  <w:style w:type="paragraph" w:styleId="Heading1">
    <w:name w:val="heading 1"/>
    <w:basedOn w:val="Normal"/>
    <w:next w:val="Normal"/>
    <w:qFormat/>
    <w:pPr>
      <w:keepNext w:val="true"/>
      <w:numPr>
        <w:ilvl w:val="0"/>
        <w:numId w:val="1"/>
      </w:numPr>
      <w:ind w:hanging="0" w:start="709" w:end="708"/>
      <w:outlineLvl w:val="0"/>
    </w:pPr>
    <w:rPr>
      <w:sz w:val="28"/>
      <w:lang w:val="es-CL"/>
    </w:rPr>
  </w:style>
  <w:style w:type="character" w:styleId="WW8Num2z0">
    <w:name w:val="WW8Num2z0"/>
    <w:qFormat/>
    <w:rPr>
      <w:b/>
    </w:rPr>
  </w:style>
  <w:style w:type="character" w:styleId="WW8Num3z0">
    <w:name w:val="WW8Num3z0"/>
    <w:qFormat/>
    <w:rPr>
      <w:b/>
    </w:rPr>
  </w:style>
  <w:style w:type="character" w:styleId="WW8Num4z0">
    <w:name w:val="WW8Num4z0"/>
    <w:qFormat/>
    <w:rPr>
      <w:b/>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rFonts w:ascii="Symbol" w:hAnsi="Symbol" w:cs="Symbol"/>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08"/>
        <w:tab w:val="left" w:pos="567" w:leader="none"/>
      </w:tabs>
      <w:jc w:val="both"/>
    </w:pPr>
    <w:rPr>
      <w:b/>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BodyTextIndent">
    <w:name w:val="Body Text Indent"/>
    <w:basedOn w:val="Normal"/>
    <w:pPr>
      <w:ind w:hanging="0" w:start="567" w:end="0"/>
    </w:pPr>
    <w:rPr>
      <w:lang w:val="en-GB"/>
    </w:rPr>
  </w:style>
  <w:style w:type="paragraph" w:styleId="Sangra2detindependiente">
    <w:name w:val="Sangría 2 de t. independiente"/>
    <w:basedOn w:val="Normal"/>
    <w:qFormat/>
    <w:pPr>
      <w:ind w:hanging="0" w:start="360" w:end="0"/>
    </w:pPr>
    <w:rPr>
      <w:sz w:val="24"/>
      <w:lang w:val="en-US"/>
    </w:rPr>
  </w:style>
  <w:style w:type="paragraph" w:styleId="Sangra3detindependiente">
    <w:name w:val="Sangría 3 de t. independiente"/>
    <w:basedOn w:val="Normal"/>
    <w:qFormat/>
    <w:pPr>
      <w:tabs>
        <w:tab w:val="clear" w:pos="708"/>
        <w:tab w:val="left" w:pos="567" w:leader="none"/>
      </w:tabs>
      <w:ind w:hanging="567" w:start="567" w:end="0"/>
    </w:pPr>
    <w:rPr>
      <w:sz w:val="24"/>
      <w:lang w:val="en-US"/>
    </w:rPr>
  </w:style>
  <w:style w:type="paragraph" w:styleId="Paragraph2">
    <w:name w:val="Paragraph 2"/>
    <w:basedOn w:val="Normal"/>
    <w:qFormat/>
    <w:pPr>
      <w:widowControl w:val="false"/>
      <w:tabs>
        <w:tab w:val="clear" w:pos="708"/>
        <w:tab w:val="right" w:pos="180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720" w:end="0"/>
    </w:pPr>
    <w:rPr>
      <w:sz w:val="24"/>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NUEVA</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2000-08-30T16:32:00Z</dcterms:created>
  <dc:creator>Compaq</dc:creator>
  <dc:description/>
  <dc:language>en-CA</dc:language>
  <cp:lastModifiedBy>Marcelo Armas</cp:lastModifiedBy>
  <cp:lastPrinted>2000-08-30T15:01:00Z</cp:lastPrinted>
  <dcterms:modified xsi:type="dcterms:W3CDTF">2000-08-30T16:32:00Z</dcterms:modified>
  <cp:revision>2</cp:revision>
  <dc:subject/>
  <dc:title> </dc:title>
</cp:coreProperties>
</file>