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t>Memorandum</w:t>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To:</w:t>
        <w:tab/>
        <w:t>Stan Horton</w:t>
      </w:r>
    </w:p>
    <w:p>
      <w:pPr>
        <w:pStyle w:val="Normal"/>
        <w:rPr>
          <w:sz w:val="24"/>
        </w:rPr>
      </w:pPr>
      <w:r>
        <w:rPr>
          <w:sz w:val="24"/>
        </w:rPr>
      </w:r>
    </w:p>
    <w:p>
      <w:pPr>
        <w:pStyle w:val="Normal"/>
        <w:rPr>
          <w:sz w:val="24"/>
        </w:rPr>
      </w:pPr>
      <w:r>
        <w:rPr>
          <w:sz w:val="24"/>
        </w:rPr>
        <w:t>From:</w:t>
        <w:tab/>
        <w:t>Jim Piro</w:t>
      </w:r>
    </w:p>
    <w:p>
      <w:pPr>
        <w:pStyle w:val="Normal"/>
        <w:rPr>
          <w:sz w:val="24"/>
        </w:rPr>
      </w:pPr>
      <w:r>
        <w:rPr>
          <w:sz w:val="24"/>
        </w:rPr>
      </w:r>
    </w:p>
    <w:p>
      <w:pPr>
        <w:pStyle w:val="Normal"/>
        <w:rPr>
          <w:sz w:val="24"/>
        </w:rPr>
      </w:pPr>
      <w:r>
        <w:rPr>
          <w:sz w:val="24"/>
        </w:rPr>
        <w:t>Date:</w:t>
        <w:tab/>
        <w:t>September 13, 2001</w:t>
      </w:r>
    </w:p>
    <w:p>
      <w:pPr>
        <w:pStyle w:val="Normal"/>
        <w:rPr>
          <w:sz w:val="24"/>
        </w:rPr>
      </w:pPr>
      <w:r>
        <w:rPr>
          <w:sz w:val="24"/>
        </w:rPr>
      </w:r>
    </w:p>
    <w:p>
      <w:pPr>
        <w:pStyle w:val="Normal"/>
        <w:rPr>
          <w:sz w:val="24"/>
        </w:rPr>
      </w:pPr>
      <w:r>
        <w:rPr>
          <w:sz w:val="24"/>
        </w:rPr>
        <w:t>Subject: Rate Case Proceedings</w:t>
      </w:r>
    </w:p>
    <w:p>
      <w:pPr>
        <w:pStyle w:val="Normal"/>
        <w:rPr>
          <w:sz w:val="24"/>
        </w:rPr>
      </w:pPr>
      <w:r>
        <w:rPr>
          <w:sz w:val="24"/>
        </w:rPr>
      </w:r>
    </w:p>
    <w:p>
      <w:pPr>
        <w:pStyle w:val="BodyText"/>
        <w:rPr>
          <w:lang w:eastAsia="en-CA"/>
        </w:rPr>
      </w:pPr>
      <w:r>
        <w:rPr>
          <w:lang w:eastAsia="en-CA"/>
        </w:rPr>
        <w:t>The attached information is in response to your request concerning the rate case results.</w:t>
      </w:r>
    </w:p>
    <w:p>
      <w:pPr>
        <w:pStyle w:val="Normal"/>
        <w:rPr>
          <w:sz w:val="24"/>
          <w:lang w:eastAsia="en-CA"/>
        </w:rPr>
      </w:pPr>
      <w:r>
        <w:rPr>
          <w:sz w:val="24"/>
          <w:lang w:eastAsia="en-CA"/>
        </w:rPr>
      </w:r>
    </w:p>
    <w:p>
      <w:pPr>
        <w:pStyle w:val="Normal"/>
        <w:rPr/>
      </w:pPr>
      <w:r>
        <w:rPr>
          <w:b/>
          <w:sz w:val="24"/>
          <w:u w:val="single"/>
        </w:rPr>
        <w:t>Overall Rate Increase</w:t>
      </w:r>
      <w:r>
        <w:rPr>
          <w:sz w:val="24"/>
        </w:rPr>
        <w:t xml:space="preserve"> (includes base tariffs and supplemental tariffs:</w:t>
      </w:r>
    </w:p>
    <w:p>
      <w:pPr>
        <w:pStyle w:val="Normal"/>
        <w:rPr>
          <w:sz w:val="24"/>
        </w:rPr>
      </w:pPr>
      <w:r>
        <w:rPr>
          <w:sz w:val="24"/>
        </w:rPr>
        <w:t xml:space="preserve">Residential </w:t>
        <w:tab/>
        <w:tab/>
        <w:t>32%</w:t>
        <w:tab/>
        <w:tab/>
        <w:tab/>
        <w:t>8.1 cents per kwh</w:t>
      </w:r>
    </w:p>
    <w:p>
      <w:pPr>
        <w:pStyle w:val="Heading2"/>
        <w:ind w:hanging="0" w:start="0"/>
        <w:rPr/>
      </w:pPr>
      <w:r>
        <w:rPr/>
        <w:t>Small Commercial</w:t>
        <w:tab/>
        <w:t>37%</w:t>
        <w:tab/>
        <w:tab/>
        <w:tab/>
        <w:t xml:space="preserve">8.8 </w:t>
      </w:r>
    </w:p>
    <w:p>
      <w:pPr>
        <w:pStyle w:val="Normal"/>
        <w:rPr>
          <w:sz w:val="24"/>
        </w:rPr>
      </w:pPr>
      <w:r>
        <w:rPr>
          <w:sz w:val="24"/>
        </w:rPr>
        <w:t>Large Commercial</w:t>
        <w:tab/>
        <w:t>53%</w:t>
        <w:tab/>
        <w:tab/>
        <w:tab/>
        <w:t>7.0</w:t>
      </w:r>
    </w:p>
    <w:p>
      <w:pPr>
        <w:pStyle w:val="Normal"/>
        <w:rPr>
          <w:sz w:val="24"/>
        </w:rPr>
      </w:pPr>
      <w:r>
        <w:rPr>
          <w:sz w:val="24"/>
        </w:rPr>
        <w:t xml:space="preserve">Industrial </w:t>
        <w:tab/>
        <w:tab/>
        <w:t>49%</w:t>
        <w:tab/>
        <w:tab/>
        <w:tab/>
        <w:t>5.7</w:t>
      </w:r>
    </w:p>
    <w:p>
      <w:pPr>
        <w:pStyle w:val="Normal"/>
        <w:rPr>
          <w:sz w:val="24"/>
        </w:rPr>
      </w:pPr>
      <w:r>
        <w:rPr>
          <w:sz w:val="24"/>
        </w:rPr>
      </w:r>
    </w:p>
    <w:p>
      <w:pPr>
        <w:pStyle w:val="Normal"/>
        <w:rPr>
          <w:sz w:val="24"/>
        </w:rPr>
      </w:pPr>
      <w:r>
        <w:rPr>
          <w:sz w:val="24"/>
        </w:rPr>
        <w:t>Average Residential Bill for 1000 kwh would be approximately $81 per month.</w:t>
      </w:r>
    </w:p>
    <w:p>
      <w:pPr>
        <w:pStyle w:val="Normal"/>
        <w:rPr>
          <w:sz w:val="24"/>
        </w:rPr>
      </w:pPr>
      <w:r>
        <w:rPr>
          <w:sz w:val="24"/>
        </w:rPr>
      </w:r>
    </w:p>
    <w:p>
      <w:pPr>
        <w:pStyle w:val="Normal"/>
        <w:rPr>
          <w:sz w:val="24"/>
        </w:rPr>
      </w:pPr>
      <w:r>
        <w:rPr>
          <w:sz w:val="24"/>
        </w:rPr>
        <w:t xml:space="preserve">Based upon a sample of investor owned utilities across the country as of July 1,2001 the highest residential rates were Consolidated Edison of 19.4 cents per kwh and the lowest was Puget Power of 4.5 cents per kwh.  The average based upon the sample was about 9 cents per kwh.  </w:t>
      </w:r>
    </w:p>
    <w:p>
      <w:pPr>
        <w:pStyle w:val="Normal"/>
        <w:rPr>
          <w:sz w:val="24"/>
        </w:rPr>
      </w:pPr>
      <w:r>
        <w:rPr>
          <w:sz w:val="24"/>
        </w:rPr>
      </w:r>
    </w:p>
    <w:p>
      <w:pPr>
        <w:pStyle w:val="Normal"/>
        <w:rPr>
          <w:b/>
          <w:sz w:val="24"/>
          <w:u w:val="single"/>
        </w:rPr>
      </w:pPr>
      <w:r>
        <w:rPr>
          <w:b/>
          <w:sz w:val="24"/>
          <w:u w:val="single"/>
        </w:rPr>
        <w:t>Net Variable Power Cost (NVPC)</w:t>
      </w:r>
    </w:p>
    <w:p>
      <w:pPr>
        <w:pStyle w:val="Normal"/>
        <w:rPr>
          <w:sz w:val="24"/>
        </w:rPr>
      </w:pPr>
      <w:r>
        <w:rPr>
          <w:sz w:val="24"/>
        </w:rPr>
        <w:t>The net variable power costs that were included in the UE-115 order are shown below.  We will be filing today final NVPC based upon the power and gas curve as of September 7.   NVPC were forecasted for the 15 month period starting October 1, 2001 and ending December 31, 2002.  The total 15 month cost were then averaged over all kwh during the 15 month and then multiplied by the 12 month loads for 2002 to determine the amount to include in our rates.  Using this method causes us to recover in our rates approximately $50 million more of our NVPC in 2001 than in 2002.  The NVPC include all retail purchase and sales transactions as of August 9.  In addition, we negotiated an adjustment to our hydro generation to reflect an estimate of the current reservoir levels and average precipitation.   The PCAM was also approved with the various bandwidths and sharing percentages.  In addition, the NVPC does dot include any in the month trading activity and excludes all gas and electric merchant trading.</w:t>
      </w:r>
    </w:p>
    <w:p>
      <w:pPr>
        <w:pStyle w:val="Normal"/>
        <w:rPr>
          <w:sz w:val="24"/>
        </w:rPr>
      </w:pPr>
      <w:r>
        <w:rPr>
          <w:sz w:val="24"/>
        </w:rPr>
        <w:tab/>
        <w:tab/>
        <w:tab/>
        <w:tab/>
        <w:t xml:space="preserve">   NVPC </w:t>
        <w:tab/>
        <w:tab/>
        <w:t>Rate Recovery</w:t>
      </w:r>
    </w:p>
    <w:p>
      <w:pPr>
        <w:pStyle w:val="Normal"/>
        <w:rPr>
          <w:sz w:val="24"/>
        </w:rPr>
      </w:pPr>
      <w:r>
        <w:rPr>
          <w:sz w:val="24"/>
        </w:rPr>
        <w:t>October – December</w:t>
        <w:tab/>
        <w:tab/>
        <w:t>$ 143 million</w:t>
        <w:tab/>
        <w:tab/>
        <w:t xml:space="preserve">  $ 193 million</w:t>
      </w:r>
    </w:p>
    <w:p>
      <w:pPr>
        <w:pStyle w:val="Normal"/>
        <w:rPr>
          <w:sz w:val="24"/>
        </w:rPr>
      </w:pPr>
      <w:r>
        <w:rPr>
          <w:sz w:val="24"/>
        </w:rPr>
        <w:t>January -  December</w:t>
        <w:tab/>
        <w:tab/>
      </w:r>
      <w:r>
        <w:rPr>
          <w:sz w:val="24"/>
          <w:u w:val="single"/>
        </w:rPr>
        <w:t>$ 807 million</w:t>
      </w:r>
      <w:r>
        <w:rPr>
          <w:sz w:val="24"/>
        </w:rPr>
        <w:t xml:space="preserve">                </w:t>
      </w:r>
      <w:r>
        <w:rPr>
          <w:sz w:val="24"/>
          <w:u w:val="single"/>
        </w:rPr>
        <w:t>$ 757 million</w:t>
      </w:r>
    </w:p>
    <w:p>
      <w:pPr>
        <w:pStyle w:val="Heading2"/>
        <w:ind w:hanging="0" w:start="0"/>
        <w:rPr/>
      </w:pPr>
      <w:r>
        <w:rPr/>
        <w:t>Total</w:t>
        <w:tab/>
        <w:tab/>
        <w:tab/>
        <w:tab/>
        <w:t>$ 950 million</w:t>
        <w:tab/>
        <w:tab/>
        <w:t xml:space="preserve">  $ 950 million</w:t>
      </w:r>
    </w:p>
    <w:p>
      <w:pPr>
        <w:pStyle w:val="Normal"/>
        <w:rPr/>
      </w:pPr>
      <w:r>
        <w:rPr/>
      </w:r>
    </w:p>
    <w:p>
      <w:pPr>
        <w:pStyle w:val="Heading2"/>
        <w:ind w:hanging="0" w:start="0"/>
        <w:rPr>
          <w:b/>
          <w:u w:val="single"/>
        </w:rPr>
      </w:pPr>
      <w:r>
        <w:rPr>
          <w:b/>
          <w:u w:val="single"/>
        </w:rPr>
        <w:t>Upsides &amp; Downsides</w:t>
      </w:r>
    </w:p>
    <w:p>
      <w:pPr>
        <w:pStyle w:val="Heading2"/>
        <w:ind w:hanging="0" w:start="0"/>
        <w:rPr/>
      </w:pPr>
      <w:r>
        <w:rPr/>
        <w:t>The order on UE-115 allowed for a 10.75% on a typical utility equity to total capital structure percentage of 45.1%.  However, the commission adjusted PGE’s return on equity down to 10.5% because of its high equity to total capital structure of 52.2%.  The order also included additional O&amp;M disallowances from those agreed to between the company and the OPUC staff of $3.5 million for customer service, $1.6 million for training, and $1.9 for regulatory affairs.   The commission also ruled against any fee to be charged against merchant trading.</w:t>
      </w:r>
    </w:p>
    <w:p>
      <w:pPr>
        <w:pStyle w:val="Normal"/>
        <w:rPr/>
      </w:pPr>
      <w:r>
        <w:rPr/>
      </w:r>
    </w:p>
    <w:p>
      <w:pPr>
        <w:pStyle w:val="Heading2"/>
        <w:ind w:hanging="0" w:start="0"/>
        <w:rPr/>
      </w:pPr>
      <w:r>
        <w:rPr/>
        <w:t>We have 100% of the upside on any improvement in net variable power cost over the base line up to $28 million for the 15-month period.</w:t>
      </w:r>
    </w:p>
    <w:p>
      <w:pPr>
        <w:pStyle w:val="Normal"/>
        <w:rPr/>
      </w:pPr>
      <w:r>
        <w:rPr/>
      </w:r>
    </w:p>
    <w:p>
      <w:pPr>
        <w:pStyle w:val="Heading2"/>
        <w:ind w:hanging="0" w:start="0"/>
        <w:rPr/>
      </w:pPr>
      <w:r>
        <w:rPr/>
        <w:t>Customer Choice</w:t>
      </w:r>
    </w:p>
    <w:p>
      <w:pPr>
        <w:pStyle w:val="BodyText"/>
        <w:rPr>
          <w:lang w:eastAsia="en-CA"/>
        </w:rPr>
      </w:pPr>
      <w:r>
        <w:rPr>
          <w:lang w:eastAsia="en-CA"/>
        </w:rPr>
        <w:t xml:space="preserve">Customer Choice will become effective on March 1, 2002 for all customers with demands greater than 30 kw.  These customers will have to give us notice in January whether they will remain with us for commodity service after March 1 and an indication whether they want PGE to procure power for them for 2003.  For all customers with a demand less than this amount (small commercial and residential) they well remain as full requirements customers of PGE but will have various portfolio offerings to choose from.   </w:t>
      </w:r>
    </w:p>
    <w:p>
      <w:pPr>
        <w:pStyle w:val="BodyText"/>
        <w:rPr>
          <w:lang w:eastAsia="en-CA"/>
        </w:rPr>
      </w:pPr>
      <w:r>
        <w:rPr>
          <w:lang w:eastAsia="en-CA"/>
        </w:rPr>
      </w:r>
    </w:p>
    <w:p>
      <w:pPr>
        <w:pStyle w:val="BodyText"/>
        <w:rPr>
          <w:lang w:eastAsia="en-CA"/>
        </w:rPr>
      </w:pPr>
      <w:r>
        <w:rPr>
          <w:lang w:eastAsia="en-CA"/>
        </w:rPr>
        <w:t>It was not discussed in the order, however starting on March 1 we will start recovering the incremental costs associated with implementation of customer choice and the 3% systems benefit charge.</w:t>
      </w:r>
    </w:p>
    <w:p>
      <w:pPr>
        <w:pStyle w:val="BodyText"/>
        <w:rPr>
          <w:lang w:eastAsia="en-CA"/>
        </w:rPr>
      </w:pPr>
      <w:r>
        <w:rPr>
          <w:lang w:eastAsia="en-CA"/>
        </w:rPr>
      </w:r>
    </w:p>
    <w:p>
      <w:pPr>
        <w:pStyle w:val="BodyText"/>
        <w:rPr>
          <w:b/>
          <w:u w:val="single"/>
          <w:lang w:eastAsia="en-CA"/>
        </w:rPr>
      </w:pPr>
      <w:r>
        <w:rPr>
          <w:b/>
          <w:u w:val="single"/>
          <w:lang w:eastAsia="en-CA"/>
        </w:rPr>
        <w:t>California Receivables</w:t>
      </w:r>
    </w:p>
    <w:p>
      <w:pPr>
        <w:pStyle w:val="BodyText"/>
        <w:rPr>
          <w:lang w:eastAsia="en-CA"/>
        </w:rPr>
      </w:pPr>
      <w:r>
        <w:rPr>
          <w:lang w:eastAsia="en-CA"/>
        </w:rPr>
        <w:t>Outstanding Balances as of Aug 1, 2001 of $ 69.8 million</w:t>
      </w:r>
    </w:p>
    <w:p>
      <w:pPr>
        <w:pStyle w:val="BodyText"/>
        <w:rPr/>
      </w:pPr>
      <w:r>
        <w:rPr>
          <w:lang w:eastAsia="en-CA"/>
        </w:rPr>
        <w:tab/>
        <w:tab/>
        <w:tab/>
        <w:tab/>
      </w:r>
      <w:r>
        <w:rPr>
          <w:u w:val="single"/>
          <w:lang w:eastAsia="en-CA"/>
        </w:rPr>
        <w:t>2000</w:t>
        <w:tab/>
        <w:tab/>
        <w:t>2001</w:t>
        <w:tab/>
        <w:tab/>
        <w:t>Total</w:t>
      </w:r>
    </w:p>
    <w:p>
      <w:pPr>
        <w:pStyle w:val="BodyText"/>
        <w:rPr>
          <w:lang w:eastAsia="en-CA"/>
        </w:rPr>
      </w:pPr>
      <w:r>
        <w:rPr>
          <w:lang w:eastAsia="en-CA"/>
        </w:rPr>
        <w:t>ISO</w:t>
        <w:tab/>
        <w:tab/>
        <w:tab/>
        <w:tab/>
        <w:t>$47.5</w:t>
        <w:tab/>
        <w:tab/>
        <w:t>$14.7</w:t>
        <w:tab/>
        <w:tab/>
        <w:t>$62.1</w:t>
      </w:r>
    </w:p>
    <w:p>
      <w:pPr>
        <w:pStyle w:val="BodyText"/>
        <w:rPr>
          <w:lang w:eastAsia="en-CA"/>
        </w:rPr>
      </w:pPr>
      <w:r>
        <w:rPr>
          <w:lang w:eastAsia="en-CA"/>
        </w:rPr>
        <w:t>PX</w:t>
        <w:tab/>
        <w:tab/>
        <w:tab/>
        <w:tab/>
        <w:t xml:space="preserve">    1.6</w:t>
        <w:tab/>
        <w:tab/>
        <w:t xml:space="preserve">    6.1</w:t>
        <w:tab/>
        <w:tab/>
        <w:t xml:space="preserve">    7.7</w:t>
      </w:r>
    </w:p>
    <w:p>
      <w:pPr>
        <w:pStyle w:val="BodyText"/>
        <w:rPr>
          <w:lang w:eastAsia="en-CA"/>
        </w:rPr>
      </w:pPr>
      <w:r>
        <w:rPr>
          <w:lang w:eastAsia="en-CA"/>
        </w:rPr>
      </w:r>
    </w:p>
    <w:p>
      <w:pPr>
        <w:pStyle w:val="BodyText"/>
        <w:rPr>
          <w:lang w:eastAsia="en-CA"/>
        </w:rPr>
      </w:pPr>
      <w:r>
        <w:rPr>
          <w:lang w:eastAsia="en-CA"/>
        </w:rPr>
        <w:t>Any write off of wholesale sales receivables for power sales after January 1, 2001 will be collected from retail customers through the 9-month PCA mechanism.  We have filed proofs of claim in the PX and PG&amp;E bankruptcy proceedings of $69.8 million.</w:t>
      </w:r>
    </w:p>
    <w:p>
      <w:pPr>
        <w:pStyle w:val="BodyText"/>
        <w:rPr>
          <w:lang w:eastAsia="en-CA"/>
        </w:rPr>
      </w:pPr>
      <w:r>
        <w:rPr>
          <w:lang w:eastAsia="en-CA"/>
        </w:rPr>
      </w:r>
    </w:p>
    <w:p>
      <w:pPr>
        <w:pStyle w:val="BodyText"/>
        <w:rPr>
          <w:lang w:eastAsia="en-CA"/>
        </w:rPr>
      </w:pPr>
      <w:r>
        <w:rPr>
          <w:lang w:eastAsia="en-CA"/>
        </w:rPr>
        <w:t>FERC is currently holding proceedings on refunds for pre-schedule and real time wholesale sales into California.  Allowable wholesale price will be based upon a proxy price based on the incremental cost of the marginal unit running in California.  PGE’s potential refund (adjustment to the collectible) is between $20 to 30 million.  FERC order on refunds is currently expected in early November.   FERC is also currently conducting proceedings on whether refunds for wholesale sales in the northwest markets should be ordered.  It is to early to judge the outcome of these proceedings.</w:t>
      </w:r>
    </w:p>
    <w:p>
      <w:pPr>
        <w:pStyle w:val="BodyText"/>
        <w:rPr>
          <w:lang w:eastAsia="en-CA"/>
        </w:rPr>
      </w:pPr>
      <w:r>
        <w:rPr>
          <w:lang w:eastAsia="en-CA"/>
        </w:rPr>
      </w:r>
    </w:p>
    <w:p>
      <w:pPr>
        <w:pStyle w:val="BodyText"/>
        <w:rPr>
          <w:lang w:eastAsia="en-CA"/>
        </w:rPr>
      </w:pPr>
      <w:r>
        <w:rPr>
          <w:lang w:eastAsia="en-CA"/>
        </w:rPr>
        <w:t>PGE has set up wholesale credit reserves of $20 million of which $7 million is for general credit and $13 specifically for California.   SCE currently owes us $40 million on the contract termination payment.  They are current on their payments and no reserves have been taken.</w:t>
      </w:r>
    </w:p>
    <w:p>
      <w:pPr>
        <w:pStyle w:val="BodyText"/>
        <w:rPr>
          <w:lang w:eastAsia="en-CA"/>
        </w:rPr>
      </w:pPr>
      <w:r>
        <w:rPr>
          <w:lang w:eastAsia="en-CA"/>
        </w:rPr>
      </w:r>
    </w:p>
    <w:p>
      <w:pPr>
        <w:pStyle w:val="BodyText"/>
        <w:rPr>
          <w:lang w:eastAsia="en-CA"/>
        </w:rPr>
      </w:pPr>
      <w:r>
        <w:rPr>
          <w:lang w:eastAsia="en-CA"/>
        </w:rPr>
      </w:r>
    </w:p>
    <w:p>
      <w:pPr>
        <w:pStyle w:val="BodyText"/>
        <w:rPr>
          <w:lang w:eastAsia="en-CA"/>
        </w:rPr>
      </w:pPr>
      <w:r>
        <w:rPr>
          <w:lang w:eastAsia="en-CA"/>
        </w:rPr>
      </w:r>
    </w:p>
    <w:p>
      <w:pPr>
        <w:pStyle w:val="BodyText"/>
        <w:rPr>
          <w:lang w:eastAsia="en-CA"/>
        </w:rPr>
      </w:pPr>
      <w:r>
        <w:rPr>
          <w:lang w:eastAsia="en-CA"/>
        </w:rPr>
        <w:t xml:space="preserve"> </w:t>
      </w:r>
    </w:p>
    <w:p>
      <w:pPr>
        <w:pStyle w:val="BodyText"/>
        <w:rPr>
          <w:lang w:eastAsia="en-CA"/>
        </w:rPr>
      </w:pPr>
      <w:r>
        <w:rPr>
          <w:lang w:eastAsia="en-CA"/>
        </w:rPr>
      </w:r>
    </w:p>
    <w:p>
      <w:pPr>
        <w:pStyle w:val="BodyText"/>
        <w:rPr>
          <w:lang w:eastAsia="en-CA"/>
        </w:rPr>
      </w:pPr>
      <w:r>
        <w:rPr>
          <w:lang w:eastAsia="en-CA"/>
        </w:rPr>
      </w:r>
    </w:p>
    <w:p>
      <w:pPr>
        <w:pStyle w:val="Normal"/>
        <w:rPr>
          <w:lang w:eastAsia="en-CA"/>
        </w:rPr>
      </w:pPr>
      <w:r>
        <w:rPr>
          <w:lang w:eastAsia="en-CA"/>
        </w:rPr>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sectPr>
      <w:type w:val="nextPage"/>
      <w:pgSz w:w="12240" w:h="15840"/>
      <w:pgMar w:left="1800" w:right="1800" w:gutter="0" w:header="0" w:top="126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6"/>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2001-09-13T11:05:00Z</dcterms:created>
  <dc:creator>E/PGE</dc:creator>
  <dc:description/>
  <dc:language>en-CA</dc:language>
  <cp:lastModifiedBy>Jim Piro</cp:lastModifiedBy>
  <cp:lastPrinted>2000-04-04T16:27:00Z</cp:lastPrinted>
  <dcterms:modified xsi:type="dcterms:W3CDTF">2001-09-13T12:24:00Z</dcterms:modified>
  <cp:revision>9</cp:revision>
  <dc:subject/>
  <dc:title>Memorandum</dc:title>
</cp:coreProperties>
</file>