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lang w:val="en-CA"/>
        </w:rPr>
      </w:pPr>
      <w:r>
        <w:rPr>
          <w:sz w:val="32"/>
        </w:rPr>
        <w:t>Tokyo Aoyama Law Office</w:t>
      </w:r>
    </w:p>
    <w:p>
      <w:pPr>
        <w:pStyle w:val="Normal"/>
        <w:spacing w:lineRule="auto" w:line="240"/>
        <w:jc w:val="center"/>
        <w:rPr>
          <w:rFonts w:ascii="Times New Roman;Times New Roman" w:hAnsi="Times New Roman;Times New Roman" w:cs="Times New Roman;Times New Roman"/>
          <w:caps/>
          <w:spacing w:val="-2"/>
          <w:sz w:val="20"/>
          <w:lang w:val="en-CA"/>
        </w:rPr>
      </w:pPr>
      <w:r>
        <w:rPr>
          <w:rFonts w:cs="Times New Roman;Times New Roman" w:ascii="Times New Roman;Times New Roman" w:hAnsi="Times New Roman;Times New Roman"/>
          <w:caps/>
          <w:spacing w:val="-2"/>
          <w:sz w:val="20"/>
          <w:lang w:val="en-CA"/>
        </w:rPr>
        <w:t>attorneys at law</w:t>
      </w:r>
    </w:p>
    <w:p>
      <w:pPr>
        <w:pStyle w:val="Normal"/>
        <w:spacing w:lineRule="auto" w:line="240"/>
        <w:jc w:val="center"/>
        <w:rPr>
          <w:rFonts w:ascii="Times New Roman;Times New Roman" w:hAnsi="Times New Roman;Times New Roman" w:cs="Times New Roman;Times New Roman"/>
          <w:b/>
          <w:caps/>
          <w:sz w:val="32"/>
          <w:lang w:val="en-CA"/>
        </w:rPr>
      </w:pPr>
      <w:r>
        <w:rPr>
          <w:rFonts w:cs="Times New Roman;Times New Roman" w:ascii="Times New Roman;Times New Roman" w:hAnsi="Times New Roman;Times New Roman"/>
          <w:b/>
          <w:smallCaps/>
          <w:sz w:val="32"/>
        </w:rPr>
        <w:t xml:space="preserve">Baker &amp; McKenzie </w:t>
      </w:r>
    </w:p>
    <w:p>
      <w:pPr>
        <w:pStyle w:val="Normal"/>
        <w:spacing w:lineRule="auto" w:line="240"/>
        <w:jc w:val="center"/>
        <w:rPr>
          <w:rFonts w:ascii="Times New Roman;Times New Roman" w:hAnsi="Times New Roman;Times New Roman" w:cs="Times New Roman;Times New Roman"/>
          <w:caps/>
          <w:spacing w:val="-2"/>
          <w:sz w:val="20"/>
          <w:lang w:val="en-CA"/>
        </w:rPr>
      </w:pPr>
      <w:r>
        <w:rPr>
          <w:rFonts w:cs="Times New Roman;Times New Roman" w:ascii="Times New Roman;Times New Roman" w:hAnsi="Times New Roman;Times New Roman"/>
          <w:caps/>
          <w:spacing w:val="-2"/>
          <w:sz w:val="20"/>
          <w:lang w:val="en-CA"/>
        </w:rPr>
        <w:t>attorney at foreign law office</w:t>
      </w:r>
    </w:p>
    <w:p>
      <w:pPr>
        <w:pStyle w:val="Normal"/>
        <w:spacing w:lineRule="auto" w:line="240"/>
        <w:jc w:val="center"/>
        <w:rPr>
          <w:rFonts w:ascii="Times New Roman;Times New Roman" w:hAnsi="Times New Roman;Times New Roman" w:cs="Times New Roman;Times New Roman"/>
          <w:caps/>
          <w:spacing w:val="-2"/>
          <w:sz w:val="20"/>
          <w:lang w:val="en-CA"/>
        </w:rPr>
      </w:pPr>
      <w:r>
        <w:rPr>
          <w:rFonts w:cs="Times New Roman;Times New Roman" w:ascii="Times New Roman;Times New Roman" w:hAnsi="Times New Roman;Times New Roman"/>
          <w:caps/>
          <w:spacing w:val="-2"/>
          <w:sz w:val="20"/>
          <w:lang w:val="en-CA"/>
        </w:rPr>
      </w:r>
    </w:p>
    <w:p>
      <w:pPr>
        <w:pStyle w:val="Normal"/>
        <w:spacing w:lineRule="auto" w:line="240"/>
        <w:jc w:val="center"/>
        <w:rPr>
          <w:rFonts w:ascii="Times New Roman;Times New Roman" w:hAnsi="Times New Roman;Times New Roman" w:cs="Times New Roman;Times New Roman"/>
          <w:caps/>
          <w:spacing w:val="-2"/>
          <w:lang w:val="en-CA"/>
        </w:rPr>
      </w:pPr>
      <w:r>
        <w:rPr>
          <w:rFonts w:cs="Times New Roman;Times New Roman" w:ascii="Times New Roman;Times New Roman" w:hAnsi="Times New Roman;Times New Roman"/>
          <w:caps/>
          <w:spacing w:val="-2"/>
          <w:sz w:val="20"/>
          <w:lang w:val="en-CA"/>
        </w:rPr>
        <w:t>qualified joint enterprise offices</w:t>
      </w:r>
    </w:p>
    <w:p>
      <w:pPr>
        <w:pStyle w:val="Normal"/>
        <w:spacing w:lineRule="auto" w:line="240"/>
        <w:jc w:val="center"/>
        <w:rPr>
          <w:rFonts w:ascii="Times New Roman;Times New Roman" w:hAnsi="Times New Roman;Times New Roman" w:cs="Times New Roman;Times New Roman"/>
          <w:caps/>
          <w:spacing w:val="-2"/>
          <w:lang w:val="en-CA"/>
        </w:rPr>
      </w:pPr>
      <w:r>
        <w:rPr>
          <w:rFonts w:cs="Times New Roman;Times New Roman" w:ascii="Times New Roman;Times New Roman" w:hAnsi="Times New Roman;Times New Roman"/>
          <w:caps/>
          <w:spacing w:val="-2"/>
          <w:lang w:val="en-CA"/>
        </w:rPr>
      </w:r>
    </w:p>
    <w:p>
      <w:pPr>
        <w:pStyle w:val="Normal"/>
        <w:numPr>
          <w:ilvl w:val="0"/>
          <w:numId w:val="0"/>
        </w:numPr>
        <w:jc w:val="center"/>
        <w:outlineLvl w:val="0"/>
        <w:rPr>
          <w:rFonts w:ascii="Times New Roman;Times New Roman" w:hAnsi="Times New Roman;Times New Roman" w:cs="Times New Roman;Times New Roman"/>
          <w:b/>
          <w:sz w:val="23"/>
        </w:rPr>
      </w:pPr>
      <w:r>
        <w:rPr>
          <w:rFonts w:cs="Times New Roman;Times New Roman" w:ascii="Times New Roman;Times New Roman" w:hAnsi="Times New Roman;Times New Roman"/>
          <w:b/>
          <w:sz w:val="23"/>
        </w:rPr>
        <w:t>MEMORANDUM</w:t>
      </w:r>
    </w:p>
    <w:p>
      <w:pPr>
        <w:pStyle w:val="Normal"/>
        <w:jc w:val="center"/>
        <w:rPr>
          <w:rFonts w:ascii="Times New Roman;Times New Roman" w:hAnsi="Times New Roman;Times New Roman" w:cs="Times New Roman;Times New Roman"/>
          <w:b/>
          <w:sz w:val="23"/>
        </w:rPr>
      </w:pPr>
      <w:r>
        <w:rPr>
          <w:rFonts w:cs="Times New Roman;Times New Roman" w:ascii="Times New Roman;Times New Roman" w:hAnsi="Times New Roman;Times New Roman"/>
          <w:b/>
          <w:sz w:val="23"/>
        </w:rPr>
      </w:r>
    </w:p>
    <w:tbl>
      <w:tblPr>
        <w:tblW w:w="9198" w:type="dxa"/>
        <w:jc w:val="start"/>
        <w:tblInd w:w="0" w:type="dxa"/>
        <w:tblLayout w:type="fixed"/>
        <w:tblCellMar>
          <w:top w:w="0" w:type="dxa"/>
          <w:start w:w="108" w:type="dxa"/>
          <w:bottom w:w="0" w:type="dxa"/>
          <w:end w:w="108" w:type="dxa"/>
        </w:tblCellMar>
      </w:tblPr>
      <w:tblGrid>
        <w:gridCol w:w="1101"/>
        <w:gridCol w:w="8097"/>
      </w:tblGrid>
      <w:tr>
        <w:trPr/>
        <w:tc>
          <w:tcPr>
            <w:tcW w:w="1101" w:type="dxa"/>
            <w:tcBorders/>
          </w:tcPr>
          <w:p>
            <w:pPr>
              <w:pStyle w:val="Normal"/>
              <w:spacing w:lineRule="auto" w:line="240"/>
              <w:ind w:end="-90"/>
              <w:jc w:val="start"/>
              <w:rPr/>
            </w:pPr>
            <w:r>
              <w:rPr>
                <w:rFonts w:eastAsia="ＭＳ ゴシック;MS Gothic" w:cs="Times New Roman;Times New Roman" w:ascii="Times New Roman;Times New Roman" w:hAnsi="Times New Roman;Times New Roman"/>
                <w:b/>
                <w:lang w:eastAsia="ja-JP"/>
              </w:rPr>
              <w:t>TO</w:t>
            </w:r>
            <w:r>
              <w:rPr>
                <w:rFonts w:eastAsia="ＭＳ ゴシック;MS Gothic" w:cs="Times New Roman;Times New Roman" w:ascii="Times New Roman;Times New Roman" w:hAnsi="Times New Roman;Times New Roman"/>
                <w:b/>
                <w:lang w:eastAsia="ja-JP"/>
              </w:rPr>
              <w:t>:</w:t>
            </w:r>
          </w:p>
        </w:tc>
        <w:tc>
          <w:tcPr>
            <w:tcW w:w="8097" w:type="dxa"/>
            <w:tcBorders/>
          </w:tcPr>
          <w:p>
            <w:pPr>
              <w:pStyle w:val="Normal"/>
              <w:spacing w:lineRule="auto" w:line="240"/>
              <w:ind w:end="-90"/>
              <w:rPr>
                <w:rFonts w:ascii="Times New Roman;Times New Roman" w:hAnsi="Times New Roman;Times New Roman" w:eastAsia="ＭＳ ゴシック;MS Gothic" w:cs="Times New Roman;Times New Roman"/>
                <w:lang w:eastAsia="ja-JP"/>
              </w:rPr>
            </w:pPr>
            <w:r>
              <w:rPr>
                <w:rFonts w:eastAsia="ＭＳ ゴシック;MS Gothic" w:cs="Times New Roman;Times New Roman" w:ascii="Times New Roman;Times New Roman" w:hAnsi="Times New Roman;Times New Roman"/>
                <w:lang w:eastAsia="ja-JP"/>
              </w:rPr>
              <w:t>JOHN VIVERITO, ENRON</w:t>
            </w:r>
          </w:p>
        </w:tc>
      </w:tr>
      <w:tr>
        <w:trPr>
          <w:trHeight w:val="120" w:hRule="exact"/>
        </w:trPr>
        <w:tc>
          <w:tcPr>
            <w:tcW w:w="9198" w:type="dxa"/>
            <w:gridSpan w:val="2"/>
            <w:tcBorders/>
          </w:tcPr>
          <w:p>
            <w:pPr>
              <w:pStyle w:val="Normal"/>
              <w:snapToGrid w:val="false"/>
              <w:spacing w:lineRule="auto" w:line="240"/>
              <w:ind w:end="-90"/>
              <w:rPr>
                <w:rFonts w:ascii="Times New Roman;Times New Roman" w:hAnsi="Times New Roman;Times New Roman" w:eastAsia="ＭＳ ゴシック;MS Gothic" w:cs="Times New Roman;Times New Roman"/>
                <w:lang w:eastAsia="ja-JP"/>
              </w:rPr>
            </w:pPr>
            <w:r>
              <w:rPr>
                <w:rFonts w:eastAsia="ＭＳ ゴシック;MS Gothic" w:cs="Times New Roman;Times New Roman" w:ascii="Times New Roman;Times New Roman" w:hAnsi="Times New Roman;Times New Roman"/>
                <w:lang w:eastAsia="ja-JP"/>
              </w:rPr>
            </w:r>
          </w:p>
        </w:tc>
      </w:tr>
      <w:tr>
        <w:trPr/>
        <w:tc>
          <w:tcPr>
            <w:tcW w:w="1101" w:type="dxa"/>
            <w:tcBorders/>
          </w:tcPr>
          <w:p>
            <w:pPr>
              <w:pStyle w:val="Normal"/>
              <w:spacing w:lineRule="auto" w:line="240" w:before="0" w:after="120"/>
              <w:ind w:end="-86"/>
              <w:jc w:val="start"/>
              <w:rPr>
                <w:rFonts w:ascii="Times New Roman;Times New Roman" w:hAnsi="Times New Roman;Times New Roman" w:eastAsia="ＭＳ ゴシック;MS Gothic" w:cs="Times New Roman;Times New Roman"/>
                <w:b/>
                <w:lang w:eastAsia="ja-JP"/>
              </w:rPr>
            </w:pPr>
            <w:r>
              <w:rPr>
                <w:rFonts w:eastAsia="ＭＳ ゴシック;MS Gothic" w:cs="Times New Roman;Times New Roman" w:ascii="Times New Roman;Times New Roman" w:hAnsi="Times New Roman;Times New Roman"/>
                <w:b/>
                <w:lang w:eastAsia="ja-JP"/>
              </w:rPr>
              <w:t>FROM:</w:t>
            </w:r>
          </w:p>
          <w:p>
            <w:pPr>
              <w:pStyle w:val="Normal"/>
              <w:spacing w:lineRule="auto" w:line="240"/>
              <w:ind w:end="-90"/>
              <w:jc w:val="start"/>
              <w:rPr>
                <w:rFonts w:ascii="Times New Roman;Times New Roman" w:hAnsi="Times New Roman;Times New Roman" w:eastAsia="ＭＳ ゴシック;MS Gothic" w:cs="Times New Roman;Times New Roman"/>
                <w:b/>
                <w:lang w:eastAsia="ja-JP"/>
              </w:rPr>
            </w:pPr>
            <w:r>
              <w:rPr>
                <w:rFonts w:eastAsia="ＭＳ ゴシック;MS Gothic" w:cs="Times New Roman;Times New Roman" w:ascii="Times New Roman;Times New Roman" w:hAnsi="Times New Roman;Times New Roman"/>
                <w:b/>
                <w:lang w:eastAsia="ja-JP"/>
              </w:rPr>
              <w:t>CC:</w:t>
            </w:r>
          </w:p>
        </w:tc>
        <w:tc>
          <w:tcPr>
            <w:tcW w:w="8097" w:type="dxa"/>
            <w:tcBorders/>
          </w:tcPr>
          <w:p>
            <w:pPr>
              <w:pStyle w:val="Normal"/>
              <w:spacing w:lineRule="auto" w:line="240" w:before="0" w:after="120"/>
              <w:ind w:end="-86"/>
              <w:rPr/>
            </w:pPr>
            <w:r>
              <w:rPr>
                <w:rFonts w:cs="Times New Roman;Times New Roman" w:ascii="Times New Roman;Times New Roman" w:hAnsi="Times New Roman;Times New Roman"/>
              </w:rPr>
              <w:t>JEREMY PITTS</w:t>
            </w:r>
            <w:r>
              <w:rPr>
                <w:rStyle w:val="FootnoteCharacters"/>
                <w:rStyle w:val="FootnoteReference"/>
                <w:rFonts w:cs="Times New Roman;Times New Roman" w:ascii="Times New Roman;Times New Roman" w:hAnsi="Times New Roman;Times New Roman"/>
                <w:sz w:val="24"/>
              </w:rPr>
              <w:footnoteReference w:customMarkFollows="1" w:id="2"/>
              <w:t>*</w:t>
            </w:r>
            <w:r>
              <w:rPr>
                <w:rFonts w:cs="Times New Roman;Times New Roman" w:ascii="Times New Roman;Times New Roman" w:hAnsi="Times New Roman;Times New Roman"/>
              </w:rPr>
              <w:t xml:space="preserve"> and SHINJI TOYOHARA </w:t>
            </w:r>
          </w:p>
          <w:p>
            <w:pPr>
              <w:pStyle w:val="Normal"/>
              <w:spacing w:lineRule="auto" w:line="240"/>
              <w:ind w:end="-90"/>
              <w:rPr>
                <w:rFonts w:ascii="Times New Roman;Times New Roman" w:hAnsi="Times New Roman;Times New Roman" w:cs="Times New Roman;Times New Roman"/>
              </w:rPr>
            </w:pPr>
            <w:r>
              <w:rPr>
                <w:rFonts w:cs="Times New Roman;Times New Roman" w:ascii="Times New Roman;Times New Roman" w:hAnsi="Times New Roman;Times New Roman"/>
              </w:rPr>
              <w:t>PAUL DAVIS, ANNE HUNG and ED WHATLEY</w:t>
            </w:r>
          </w:p>
        </w:tc>
      </w:tr>
      <w:tr>
        <w:trPr>
          <w:trHeight w:val="120" w:hRule="exact"/>
        </w:trPr>
        <w:tc>
          <w:tcPr>
            <w:tcW w:w="9198" w:type="dxa"/>
            <w:gridSpan w:val="2"/>
            <w:tcBorders/>
          </w:tcPr>
          <w:p>
            <w:pPr>
              <w:pStyle w:val="Normal"/>
              <w:snapToGrid w:val="false"/>
              <w:spacing w:lineRule="auto" w:line="240"/>
              <w:ind w:end="-90"/>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rHeight w:val="142" w:hRule="atLeast"/>
        </w:trPr>
        <w:tc>
          <w:tcPr>
            <w:tcW w:w="1101" w:type="dxa"/>
            <w:tcBorders/>
          </w:tcPr>
          <w:p>
            <w:pPr>
              <w:pStyle w:val="Normal"/>
              <w:spacing w:lineRule="auto" w:line="240"/>
              <w:ind w:end="-90"/>
              <w:jc w:val="start"/>
              <w:rPr/>
            </w:pPr>
            <w:r>
              <w:rPr>
                <w:rFonts w:eastAsia="ＭＳ ゴシック;MS Gothic" w:cs="Times New Roman;Times New Roman" w:ascii="Times New Roman;Times New Roman" w:hAnsi="Times New Roman;Times New Roman"/>
                <w:b/>
                <w:lang w:eastAsia="ja-JP"/>
              </w:rPr>
              <w:t>DATE</w:t>
            </w:r>
            <w:r>
              <w:rPr>
                <w:rFonts w:eastAsia="ＭＳ ゴシック;MS Gothic" w:cs="Times New Roman;Times New Roman" w:ascii="Times New Roman;Times New Roman" w:hAnsi="Times New Roman;Times New Roman"/>
                <w:b/>
                <w:lang w:eastAsia="ja-JP"/>
              </w:rPr>
              <w:t>:</w:t>
            </w:r>
          </w:p>
        </w:tc>
        <w:tc>
          <w:tcPr>
            <w:tcW w:w="8097" w:type="dxa"/>
            <w:tcBorders/>
          </w:tcPr>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JUNE 14, 2000</w:t>
            </w:r>
          </w:p>
        </w:tc>
      </w:tr>
      <w:tr>
        <w:trPr>
          <w:trHeight w:val="120" w:hRule="exact"/>
        </w:trPr>
        <w:tc>
          <w:tcPr>
            <w:tcW w:w="9198" w:type="dxa"/>
            <w:gridSpan w:val="2"/>
            <w:tcBorders/>
          </w:tcPr>
          <w:p>
            <w:pPr>
              <w:pStyle w:val="Normal"/>
              <w:snapToGrid w:val="false"/>
              <w:spacing w:lineRule="auto" w:line="240"/>
              <w:ind w:end="-90"/>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c>
          <w:tcPr>
            <w:tcW w:w="1101" w:type="dxa"/>
            <w:tcBorders/>
          </w:tcPr>
          <w:p>
            <w:pPr>
              <w:pStyle w:val="Normal"/>
              <w:spacing w:lineRule="auto" w:line="240"/>
              <w:ind w:end="-90"/>
              <w:jc w:val="start"/>
              <w:rPr>
                <w:rFonts w:ascii="Times New Roman;Times New Roman" w:hAnsi="Times New Roman;Times New Roman" w:eastAsia="ＭＳ ゴシック;MS Gothic" w:cs="Times New Roman;Times New Roman"/>
                <w:b/>
                <w:lang w:eastAsia="ja-JP"/>
              </w:rPr>
            </w:pPr>
            <w:r>
              <w:rPr>
                <w:rFonts w:eastAsia="ＭＳ ゴシック;MS Gothic" w:cs="Times New Roman;Times New Roman" w:ascii="Times New Roman;Times New Roman" w:hAnsi="Times New Roman;Times New Roman"/>
                <w:b/>
                <w:lang w:eastAsia="ja-JP"/>
              </w:rPr>
              <w:t>RE:</w:t>
            </w:r>
          </w:p>
        </w:tc>
        <w:tc>
          <w:tcPr>
            <w:tcW w:w="8097" w:type="dxa"/>
            <w:tcBorders/>
          </w:tcPr>
          <w:p>
            <w:pPr>
              <w:pStyle w:val="Normal"/>
              <w:spacing w:lineRule="auto" w:line="240"/>
              <w:ind w:end="-90"/>
              <w:rPr/>
            </w:pPr>
            <w:r>
              <w:rPr>
                <w:rFonts w:cs="Times New Roman;Times New Roman" w:ascii="Times New Roman;Times New Roman" w:hAnsi="Times New Roman;Times New Roman"/>
              </w:rPr>
              <w:t xml:space="preserve">ENRON JAPAN  – REGULATION OF FINANCIAL DERIVATIVES </w:t>
            </w:r>
          </w:p>
        </w:tc>
      </w:tr>
    </w:tbl>
    <w:p>
      <w:pPr>
        <w:pStyle w:val="Normal"/>
        <w:ind w:end="14"/>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end="14"/>
        <w:rPr>
          <w:rFonts w:ascii="Times New Roman;Times New Roman" w:hAnsi="Times New Roman;Times New Roman" w:cs="Times New Roman;Times New Roman"/>
          <w:lang w:val="en-CA"/>
        </w:rPr>
      </w:pPr>
      <w:r>
        <w:rPr>
          <w:rFonts w:cs="Times New Roman;Times New Roman" w:ascii="Times New Roman;Times New Roman" w:hAnsi="Times New Roman;Times New Roman"/>
          <w:lang w:val="en-CA"/>
        </w:rPr>
        <mc:AlternateContent>
          <mc:Choice Requires="wps">
            <w:drawing>
              <wp:anchor behindDoc="0" distT="0" distB="0" distL="114935" distR="114935" simplePos="0" locked="0" layoutInCell="1" allowOverlap="1" relativeHeight="2">
                <wp:simplePos x="0" y="0"/>
                <wp:positionH relativeFrom="column">
                  <wp:posOffset>-47625</wp:posOffset>
                </wp:positionH>
                <wp:positionV relativeFrom="paragraph">
                  <wp:posOffset>67310</wp:posOffset>
                </wp:positionV>
                <wp:extent cx="5838825" cy="0"/>
                <wp:effectExtent l="0" t="5080" r="0" b="5080"/>
                <wp:wrapNone/>
                <wp:docPr id="1" name=""/>
                <a:graphic xmlns:a="http://schemas.openxmlformats.org/drawingml/2006/main">
                  <a:graphicData uri="http://schemas.microsoft.com/office/word/2010/wordprocessingShape">
                    <wps:wsp>
                      <wps:cNvSpPr/>
                      <wps:spPr>
                        <a:xfrm>
                          <a:off x="0" y="0"/>
                          <a:ext cx="5838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5pt,5.3pt" to="455.95pt,5.3pt" stroked="t" o:allowincell="f" style="position:absolute">
                <v:stroke color="black" weight="9360" joinstyle="miter" endcap="flat"/>
                <v:fill o:detectmouseclick="t" on="false"/>
                <w10:wrap type="none"/>
              </v:line>
            </w:pict>
          </mc:Fallback>
        </mc:AlternateContent>
      </w:r>
    </w:p>
    <w:p>
      <w:pPr>
        <w:pStyle w:val="Normal"/>
        <w:ind w:hanging="709" w:start="709" w:end="0"/>
        <w:rPr>
          <w:rFonts w:ascii="Times New Roman;Times New Roman" w:hAnsi="Times New Roman;Times New Roman" w:cs="Times New Roman;Times New Roman"/>
          <w:lang w:val="en-AU"/>
        </w:rPr>
      </w:pPr>
      <w:r>
        <w:rPr>
          <w:rFonts w:cs="Times New Roman;Times New Roman" w:ascii="Times New Roman;Times New Roman" w:hAnsi="Times New Roman;Times New Roman"/>
          <w:lang w:val="en-AU"/>
        </w:rPr>
        <w:t>Dear John,</w:t>
      </w:r>
    </w:p>
    <w:p>
      <w:pPr>
        <w:pStyle w:val="Normal"/>
        <w:ind w:hanging="709" w:start="709" w:end="0"/>
        <w:rPr>
          <w:rFonts w:ascii="Times New Roman;Times New Roman" w:hAnsi="Times New Roman;Times New Roman" w:cs="Times New Roman;Times New Roman"/>
          <w:lang w:val="en-AU"/>
        </w:rPr>
      </w:pPr>
      <w:r>
        <w:rPr>
          <w:rFonts w:cs="Times New Roman;Times New Roman" w:ascii="Times New Roman;Times New Roman" w:hAnsi="Times New Roman;Times New Roman"/>
          <w:lang w:val="en-AU"/>
        </w:rPr>
      </w:r>
    </w:p>
    <w:p>
      <w:pPr>
        <w:pStyle w:val="Normal"/>
        <w:rPr>
          <w:rFonts w:ascii="Times New Roman;Times New Roman" w:hAnsi="Times New Roman;Times New Roman" w:cs="Times New Roman;Times New Roman"/>
          <w:lang w:val="en-AU"/>
        </w:rPr>
      </w:pPr>
      <w:r>
        <w:rPr>
          <w:rFonts w:cs="Times New Roman;Times New Roman" w:ascii="Times New Roman;Times New Roman" w:hAnsi="Times New Roman;Times New Roman"/>
          <w:lang w:val="en-AU"/>
        </w:rPr>
        <w:t xml:space="preserve">We refer to your e-mail dated June 8, 2000 and to our conversation on June 13, 2000.  We set out below our advice in relation to the </w:t>
      </w:r>
      <w:r>
        <w:rPr>
          <w:rFonts w:cs="Times New Roman;Times New Roman" w:ascii="Times New Roman;Times New Roman" w:hAnsi="Times New Roman;Times New Roman"/>
          <w:color w:val="000000"/>
        </w:rPr>
        <w:t>regulations under Japanese law relating to interest rate, foreign currency, bond and equity trading</w:t>
      </w:r>
      <w:r>
        <w:rPr>
          <w:rFonts w:cs="Times New Roman;Times New Roman" w:ascii="Times New Roman;Times New Roman" w:hAnsi="Times New Roman;Times New Roman"/>
          <w:lang w:val="en-AU"/>
        </w:rPr>
        <w:t xml:space="preserve"> by Enron Japan Corp. (“Enron Japan”)</w:t>
      </w:r>
      <w:r>
        <w:rPr>
          <w:rFonts w:cs="Times New Roman;Times New Roman" w:ascii="Times New Roman;Times New Roman" w:hAnsi="Times New Roman;Times New Roman"/>
          <w:color w:val="000000"/>
        </w:rPr>
        <w:t>.</w:t>
      </w:r>
    </w:p>
    <w:p>
      <w:pPr>
        <w:pStyle w:val="Normal"/>
        <w:rPr>
          <w:rFonts w:ascii="Times New Roman;Times New Roman" w:hAnsi="Times New Roman;Times New Roman" w:cs="Times New Roman;Times New Roman"/>
          <w:lang w:val="en-AU"/>
        </w:rPr>
      </w:pPr>
      <w:r>
        <w:rPr>
          <w:rFonts w:cs="Times New Roman;Times New Roman" w:ascii="Times New Roman;Times New Roman" w:hAnsi="Times New Roman;Times New Roman"/>
          <w:lang w:val="en-AU"/>
        </w:rPr>
      </w:r>
    </w:p>
    <w:p>
      <w:pPr>
        <w:pStyle w:val="Normal"/>
        <w:rPr>
          <w:rFonts w:ascii="Times New Roman;Times New Roman" w:hAnsi="Times New Roman;Times New Roman" w:cs="Times New Roman;Times New Roman"/>
          <w:u w:val="single"/>
          <w:lang w:val="en-AU"/>
        </w:rPr>
      </w:pPr>
      <w:r>
        <w:rPr>
          <w:rFonts w:cs="Times New Roman;Times New Roman" w:ascii="Times New Roman;Times New Roman" w:hAnsi="Times New Roman;Times New Roman"/>
          <w:lang w:val="en-AU"/>
        </w:rPr>
        <w:t>1.</w:t>
        <w:tab/>
      </w:r>
      <w:r>
        <w:rPr>
          <w:rFonts w:cs="Times New Roman;Times New Roman" w:ascii="Times New Roman;Times New Roman" w:hAnsi="Times New Roman;Times New Roman"/>
          <w:u w:val="single"/>
          <w:lang w:val="en-AU"/>
        </w:rPr>
        <w:t>Summary of Facts</w:t>
      </w:r>
      <w:r>
        <w:rPr>
          <w:rFonts w:cs="Times New Roman;Times New Roman" w:ascii="Times New Roman;Times New Roman" w:hAnsi="Times New Roman;Times New Roman"/>
          <w:lang w:val="en-AU"/>
        </w:rPr>
        <w:t>.</w:t>
      </w:r>
    </w:p>
    <w:p>
      <w:pPr>
        <w:pStyle w:val="Normal"/>
        <w:rPr>
          <w:rFonts w:ascii="Times New Roman;Times New Roman" w:hAnsi="Times New Roman;Times New Roman" w:cs="Times New Roman;Times New Roman"/>
          <w:u w:val="single"/>
          <w:lang w:val="en-AU"/>
        </w:rPr>
      </w:pPr>
      <w:r>
        <w:rPr>
          <w:rFonts w:cs="Times New Roman;Times New Roman" w:ascii="Times New Roman;Times New Roman" w:hAnsi="Times New Roman;Times New Roman"/>
          <w:u w:val="single"/>
          <w:lang w:val="en-AU"/>
        </w:rPr>
      </w:r>
    </w:p>
    <w:p>
      <w:pPr>
        <w:pStyle w:val="Normal"/>
        <w:ind w:start="720" w:end="0"/>
        <w:rPr>
          <w:rFonts w:ascii="Times New Roman;Times New Roman" w:hAnsi="Times New Roman;Times New Roman" w:cs="Times New Roman;Times New Roman"/>
          <w:lang w:val="en-AU"/>
        </w:rPr>
      </w:pPr>
      <w:r>
        <w:rPr>
          <w:rFonts w:cs="Times New Roman;Times New Roman" w:ascii="Times New Roman;Times New Roman" w:hAnsi="Times New Roman;Times New Roman"/>
          <w:lang w:val="en-AU"/>
        </w:rPr>
        <w:t xml:space="preserve">In Japan, there is no law covering the provision of financial services generally.  Further, Japanese financial regulation establishes different regulatory frameworks for different types of financial products – thus, for example, securities business is regulated under the Securities and Exchange Law and banking business is regulated under the Banking Law. </w:t>
      </w:r>
    </w:p>
    <w:p>
      <w:pPr>
        <w:pStyle w:val="Normal"/>
        <w:keepLines/>
        <w:autoSpaceDE w:val="false"/>
        <w:rPr>
          <w:rFonts w:ascii="Times New Roman;Times New Roman" w:hAnsi="Times New Roman;Times New Roman" w:cs="Times New Roman;Times New Roman"/>
          <w:color w:val="000000"/>
          <w:lang w:val="en-AU"/>
        </w:rPr>
      </w:pPr>
      <w:r>
        <w:rPr>
          <w:rFonts w:cs="Times New Roman;Times New Roman" w:ascii="Times New Roman;Times New Roman" w:hAnsi="Times New Roman;Times New Roman"/>
          <w:color w:val="000000"/>
          <w:lang w:val="en-AU"/>
        </w:rPr>
      </w:r>
    </w:p>
    <w:p>
      <w:pPr>
        <w:pStyle w:val="Normal"/>
        <w:keepLines/>
        <w:autoSpaceDE w:val="false"/>
        <w:ind w:start="709" w:end="0"/>
        <w:rPr/>
      </w:pPr>
      <w:r>
        <w:rPr>
          <w:rFonts w:cs="Times New Roman;Times New Roman" w:ascii="Times New Roman;Times New Roman" w:hAnsi="Times New Roman;Times New Roman"/>
          <w:color w:val="000000"/>
        </w:rPr>
        <w:t>We understand that Enron Japan is considering entering into the following types of transactions:</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(a) </w:t>
        <w:tab/>
        <w:t>Swaps  under which one party will make periodic payments based on a fixed price for an agreed notional amount or notional quantity and the other will make periodic payments based on a floating reference price for the Reference (as defined below) in relation to the same notional amount or notional quantity.</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(b)</w:t>
        <w:tab/>
        <w:t>Forwards under which each party will make a single payment on the same basis as if they had entered into a swap in respect of the Reference for one period only; or</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firstLine="72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(c)</w:t>
        <w:tab/>
        <w:t xml:space="preserve">Options under which one party will pay a premium in return for the right to </w:t>
        <w:tab/>
        <w:tab/>
        <w:t>either:</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567" w:start="1985"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(i) </w:t>
        <w:tab/>
        <w:t>buy or sell an amount of the Reference at (or before) a specified future time at a fixed (strike) price; or</w:t>
      </w:r>
    </w:p>
    <w:p>
      <w:pPr>
        <w:pStyle w:val="Normal"/>
        <w:keepLines/>
        <w:autoSpaceDE w:val="false"/>
        <w:ind w:hanging="567" w:start="1985"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567" w:start="1985"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(ii)</w:t>
        <w:tab/>
        <w:t>receive payment determined by reference to the difference between the strike price and the floating reference price of the Reference at (or before) a specified future time.</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(d)</w:t>
        <w:tab/>
        <w:t>Caps (or floors) under which one party will pay a premium or fixed amount (either a single amount or periodic amounts) and the other will make periodic payments based on either the excess (or shortfall) of the floating reference price of the Underlying over (or under) a specified cap (or floor) price; and</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(e)</w:t>
        <w:tab/>
        <w:t>Swaptions under which one party will pay a premium in exchange for the right to enter into a swap (as described above) having specified terms in a future time.</w:t>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698" w:start="1418"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(f)</w:t>
        <w:tab/>
        <w:t>Futures  involving the buying and selling of futures contracts, for interest rates, currency or equities through a licensed broker on the relevant Japanese futures exchange.</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start="709"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(g)</w:t>
        <w:tab/>
        <w:t>Bond transactions in the form of:</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742" w:start="216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 xml:space="preserve">(i) </w:t>
        <w:tab/>
        <w:t>purchase and sales of Bonds;</w:t>
      </w:r>
    </w:p>
    <w:p>
      <w:pPr>
        <w:pStyle w:val="Normal"/>
        <w:keepLines/>
        <w:autoSpaceDE w:val="false"/>
        <w:ind w:hanging="567" w:start="1985"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742" w:start="216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(ii)</w:t>
        <w:tab/>
        <w:t>repurchase or reciprocal purchase transactions involving Bonds.</w:t>
      </w:r>
    </w:p>
    <w:p>
      <w:pPr>
        <w:pStyle w:val="Normal"/>
        <w:ind w:start="720" w:end="0"/>
        <w:rPr>
          <w:rFonts w:ascii="Times New Roman;Times New Roman" w:hAnsi="Times New Roman;Times New Roman" w:cs="Times New Roman;Times New Roman"/>
          <w:color w:val="000000"/>
          <w:lang w:val="en-AU"/>
        </w:rPr>
      </w:pPr>
      <w:r>
        <w:rPr>
          <w:rFonts w:cs="Times New Roman;Times New Roman" w:ascii="Times New Roman;Times New Roman" w:hAnsi="Times New Roman;Times New Roman"/>
          <w:color w:val="000000"/>
          <w:lang w:val="en-AU"/>
        </w:rPr>
      </w:r>
    </w:p>
    <w:p>
      <w:pPr>
        <w:pStyle w:val="Normal"/>
        <w:ind w:start="720" w:end="0"/>
        <w:rPr/>
      </w:pPr>
      <w:r>
        <w:rPr>
          <w:rFonts w:cs="Times New Roman;Times New Roman" w:ascii="Times New Roman;Times New Roman" w:hAnsi="Times New Roman;Times New Roman"/>
          <w:color w:val="000000"/>
        </w:rPr>
        <w:t xml:space="preserve">We understand that Enron Japan is considering entering into Transactions which </w:t>
      </w:r>
      <w:r>
        <w:rPr>
          <w:rFonts w:cs="Times New Roman;Times New Roman" w:ascii="Times New Roman;Times New Roman" w:hAnsi="Times New Roman;Times New Roman"/>
          <w:lang w:val="en-AU"/>
        </w:rPr>
        <w:t xml:space="preserve">reference the following rates or prices </w:t>
      </w:r>
      <w:r>
        <w:rPr>
          <w:rFonts w:cs="Times New Roman;Times New Roman" w:ascii="Times New Roman;Times New Roman" w:hAnsi="Times New Roman;Times New Roman"/>
          <w:color w:val="000000"/>
        </w:rPr>
        <w:t>or a basket of such rates or prices</w:t>
      </w:r>
      <w:r>
        <w:rPr>
          <w:rFonts w:cs="Times New Roman;Times New Roman" w:ascii="Times New Roman;Times New Roman" w:hAnsi="Times New Roman;Times New Roman"/>
          <w:lang w:val="en-AU"/>
        </w:rPr>
        <w:t>:</w:t>
      </w:r>
    </w:p>
    <w:p>
      <w:pPr>
        <w:pStyle w:val="Normal"/>
        <w:keepLines/>
        <w:autoSpaceDE w:val="false"/>
        <w:rPr>
          <w:rFonts w:ascii="Times New Roman;Times New Roman" w:hAnsi="Times New Roman;Times New Roman" w:cs="Times New Roman;Times New Roman"/>
          <w:color w:val="000000"/>
          <w:lang w:val="en-AU"/>
        </w:rPr>
      </w:pPr>
      <w:r>
        <w:rPr>
          <w:rFonts w:cs="Times New Roman;Times New Roman" w:ascii="Times New Roman;Times New Roman" w:hAnsi="Times New Roman;Times New Roman"/>
          <w:color w:val="000000"/>
          <w:lang w:val="en-AU"/>
        </w:rPr>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b/>
        <w:t>(a)</w:t>
        <w:tab/>
        <w:t>an interest rate;</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b/>
        <w:t>(b)</w:t>
        <w:tab/>
        <w:t>a foreign exchange rate;</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b/>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b/>
        <w:t>(c)</w:t>
        <w:tab/>
        <w:t>an equity price or index; and</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ind w:start="720" w:end="0"/>
        <w:rPr>
          <w:rFonts w:ascii="Times New Roman;Times New Roman" w:hAnsi="Times New Roman;Times New Roman" w:cs="Times New Roman;Times New Roman"/>
          <w:lang w:val="en-AU"/>
        </w:rPr>
      </w:pPr>
      <w:r>
        <w:rPr>
          <w:rFonts w:cs="Times New Roman;Times New Roman" w:ascii="Times New Roman;Times New Roman" w:hAnsi="Times New Roman;Times New Roman"/>
          <w:color w:val="000000"/>
        </w:rPr>
        <w:t>(d)</w:t>
        <w:tab/>
        <w:t>certain fixed income debt instruments ("Bonds").</w:t>
      </w:r>
    </w:p>
    <w:p>
      <w:pPr>
        <w:pStyle w:val="BodyTextIndent"/>
        <w:rPr>
          <w:rFonts w:ascii="Times New Roman;Times New Roman" w:hAnsi="Times New Roman;Times New Roman" w:cs="Times New Roman;Times New Roman"/>
          <w:lang w:val="en-AU"/>
        </w:rPr>
      </w:pPr>
      <w:r>
        <w:rPr>
          <w:rFonts w:cs="Times New Roman;Times New Roman"/>
          <w:lang w:val="en-AU"/>
        </w:rPr>
      </w:r>
    </w:p>
    <w:p>
      <w:pPr>
        <w:pStyle w:val="BodyTextIndent"/>
        <w:ind w:start="0" w:end="0"/>
        <w:rPr/>
      </w:pPr>
      <w:r>
        <w:rPr>
          <w:lang w:val="en-AU"/>
        </w:rPr>
        <w:t>2.</w:t>
        <w:tab/>
      </w:r>
      <w:r>
        <w:rPr>
          <w:u w:val="single"/>
          <w:lang w:val="en-AU"/>
        </w:rPr>
        <w:t>Enron Japan Acting as Principal</w:t>
      </w:r>
      <w:r>
        <w:rPr>
          <w:lang w:val="en-AU"/>
        </w:rPr>
        <w:t>.</w:t>
      </w:r>
    </w:p>
    <w:p>
      <w:pPr>
        <w:pStyle w:val="BodyTextIndent"/>
        <w:rPr>
          <w:lang w:val="en-AU"/>
        </w:rPr>
      </w:pPr>
      <w:r>
        <w:rPr>
          <w:lang w:val="en-AU"/>
        </w:rPr>
      </w:r>
    </w:p>
    <w:p>
      <w:pPr>
        <w:pStyle w:val="BodyTextIndent"/>
        <w:ind w:hanging="709" w:start="709" w:end="0"/>
        <w:rPr>
          <w:lang w:val="en-AU"/>
        </w:rPr>
      </w:pPr>
      <w:r>
        <w:rPr>
          <w:lang w:val="en-AU"/>
        </w:rPr>
        <w:t>2.1</w:t>
        <w:tab/>
        <w:t>We have summarized our conclusions in the following table - based on the type of Transaction and the type of Reference.</w:t>
      </w:r>
    </w:p>
    <w:p>
      <w:pPr>
        <w:pStyle w:val="BodyTextIndent"/>
        <w:ind w:hanging="709" w:start="709" w:end="0"/>
        <w:rPr>
          <w:lang w:val="en-AU"/>
        </w:rPr>
      </w:pPr>
      <w:r>
        <w:rPr>
          <w:lang w:val="en-AU"/>
        </w:rPr>
      </w:r>
    </w:p>
    <w:p>
      <w:pPr>
        <w:pStyle w:val="BodyTextIndent"/>
        <w:rPr>
          <w:sz w:val="23"/>
          <w:lang w:val="en-AU"/>
        </w:rPr>
      </w:pPr>
      <w:r>
        <w:rPr>
          <w:sz w:val="23"/>
          <w:lang w:val="en-AU"/>
        </w:rPr>
      </w:r>
    </w:p>
    <w:p>
      <w:pPr>
        <w:pStyle w:val="BodyTextIndent"/>
        <w:rPr>
          <w:sz w:val="23"/>
          <w:lang w:val="en-AU"/>
        </w:rPr>
      </w:pPr>
      <w:r>
        <w:rPr>
          <w:sz w:val="23"/>
          <w:lang w:val="en-AU"/>
        </w:rPr>
      </w:r>
    </w:p>
    <w:tbl>
      <w:tblPr>
        <w:tblW w:w="8647" w:type="dxa"/>
        <w:jc w:val="start"/>
        <w:tblInd w:w="652" w:type="dxa"/>
        <w:tblLayout w:type="fixed"/>
        <w:tblCellMar>
          <w:top w:w="0" w:type="dxa"/>
          <w:start w:w="85" w:type="dxa"/>
          <w:bottom w:w="0" w:type="dxa"/>
          <w:end w:w="85" w:type="dxa"/>
        </w:tblCellMar>
      </w:tblPr>
      <w:tblGrid>
        <w:gridCol w:w="1233"/>
        <w:gridCol w:w="1890"/>
        <w:gridCol w:w="1980"/>
        <w:gridCol w:w="1980"/>
        <w:gridCol w:w="1564"/>
      </w:tblGrid>
      <w:tr>
        <w:trPr>
          <w:trHeight w:val="800" w:hRule="atLeast"/>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Footer"/>
              <w:tabs>
                <w:tab w:val="clear" w:pos="4320"/>
                <w:tab w:val="clear" w:pos="8640"/>
              </w:tabs>
              <w:snapToGrid w:val="false"/>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Interest Rate</w:t>
            </w:r>
          </w:p>
        </w:tc>
        <w:tc>
          <w:tcPr>
            <w:tcW w:w="1980"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Foreign Exchange</w:t>
            </w:r>
          </w:p>
        </w:tc>
        <w:tc>
          <w:tcPr>
            <w:tcW w:w="1980"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 xml:space="preserve">Equity Instruments or Equity Index </w:t>
            </w:r>
          </w:p>
        </w:tc>
        <w:tc>
          <w:tcPr>
            <w:tcW w:w="1564"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Fixed Income Instruments</w:t>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Swaps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r>
              <w:rPr>
                <w:rStyle w:val="FootnoteCharacters"/>
                <w:rStyle w:val="FootnoteReference"/>
                <w:rFonts w:cs="Times New Roman;Times New Roman" w:ascii="Times New Roman;Times New Roman" w:hAnsi="Times New Roman;Times New Roman"/>
              </w:rPr>
              <w:footnoteReference w:id="3"/>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Forwards</w:t>
            </w:r>
          </w:p>
        </w:tc>
        <w:tc>
          <w:tcPr>
            <w:tcW w:w="1890" w:type="dxa"/>
            <w:tcBorders>
              <w:top w:val="single" w:sz="4" w:space="0" w:color="000000"/>
              <w:start w:val="single" w:sz="4" w:space="0" w:color="000000"/>
              <w:bottom w:val="single" w:sz="4" w:space="0" w:color="000000"/>
              <w:end w:val="single" w:sz="4" w:space="0" w:color="000000"/>
            </w:tcBorders>
          </w:tcPr>
          <w:p>
            <w:pPr>
              <w:pStyle w:val="FootnoteText"/>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FootnoteText"/>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p>
            <w:pPr>
              <w:pStyle w:val="EndnoteText"/>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Options</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Listed Options/ OTC options based on a listed futures contract only with a licensed futures broker</w:t>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Listed Options/ OTC options based on a listed foreign exchange contract only with a licensed futures broker</w:t>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 xml:space="preserve">Caps </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Swaptions</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Any counterparty</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r>
      <w:tr>
        <w:trPr/>
        <w:tc>
          <w:tcPr>
            <w:tcW w:w="1233" w:type="dxa"/>
            <w:tcBorders>
              <w:top w:val="single" w:sz="4" w:space="0" w:color="000000"/>
              <w:start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Futures</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Listed futures/OTC futures only with a licensed futures broker</w:t>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980" w:type="dxa"/>
            <w:tcBorders>
              <w:top w:val="single" w:sz="4" w:space="0" w:color="000000"/>
              <w:start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Listed futures/OTC futures only with a licensed futures broker</w:t>
            </w:r>
          </w:p>
        </w:tc>
        <w:tc>
          <w:tcPr>
            <w:tcW w:w="1980" w:type="dxa"/>
            <w:tcBorders>
              <w:top w:val="single" w:sz="4" w:space="0" w:color="000000"/>
              <w:start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OTC Institutions only</w:t>
            </w:r>
          </w:p>
        </w:tc>
        <w:tc>
          <w:tcPr>
            <w:tcW w:w="1564" w:type="dxa"/>
            <w:tcBorders>
              <w:top w:val="single" w:sz="4" w:space="0" w:color="000000"/>
              <w:start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r>
      <w:tr>
        <w:trPr/>
        <w:tc>
          <w:tcPr>
            <w:tcW w:w="1233" w:type="dxa"/>
            <w:tcBorders>
              <w:top w:val="single" w:sz="4" w:space="0" w:color="000000"/>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Purchase and Sale of Bonds</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56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Authorized counterparties only</w:t>
            </w:r>
          </w:p>
        </w:tc>
      </w:tr>
      <w:tr>
        <w:trPr/>
        <w:tc>
          <w:tcPr>
            <w:tcW w:w="1233" w:type="dxa"/>
            <w:tcBorders>
              <w:start w:val="single" w:sz="4" w:space="0" w:color="000000"/>
              <w:bottom w:val="single" w:sz="4" w:space="0" w:color="000000"/>
              <w:end w:val="single" w:sz="4" w:space="0" w:color="000000"/>
            </w:tcBorders>
            <w:shd w:fill="CCCCCC" w:val="clear"/>
          </w:tcPr>
          <w:p>
            <w:pPr>
              <w:pStyle w:val="Normal"/>
              <w:snapToGrid w:val="false"/>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Lending of Bonds</w:t>
            </w:r>
          </w:p>
          <w:p>
            <w:pPr>
              <w:pStyle w:val="Normal"/>
              <w:spacing w:lineRule="auto" w:line="24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tc>
        <w:tc>
          <w:tcPr>
            <w:tcW w:w="1890" w:type="dxa"/>
            <w:tcBorders>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980" w:type="dxa"/>
            <w:tcBorders>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980" w:type="dxa"/>
            <w:tcBorders>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N/A</w:t>
            </w:r>
          </w:p>
        </w:tc>
        <w:tc>
          <w:tcPr>
            <w:tcW w:w="1564" w:type="dxa"/>
            <w:tcBorders>
              <w:start w:val="single" w:sz="4" w:space="0" w:color="000000"/>
              <w:bottom w:val="single" w:sz="4" w:space="0" w:color="000000"/>
              <w:end w:val="single" w:sz="4" w:space="0" w:color="000000"/>
            </w:tcBorders>
          </w:tcPr>
          <w:p>
            <w:pPr>
              <w:pStyle w:val="Normal"/>
              <w:snapToGrid w:val="false"/>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spacing w:lineRule="auto" w:line="240"/>
              <w:ind w:start="57" w:end="0"/>
              <w:jc w:val="start"/>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 xml:space="preserve">Any counterparty </w:t>
            </w:r>
          </w:p>
        </w:tc>
      </w:tr>
    </w:tbl>
    <w:p>
      <w:pPr>
        <w:pStyle w:val="BodyTextIndent"/>
        <w:rPr>
          <w:sz w:val="23"/>
          <w:lang w:val="en-AU"/>
        </w:rPr>
      </w:pPr>
      <w:r>
        <w:rPr>
          <w:sz w:val="23"/>
          <w:lang w:val="en-AU"/>
        </w:rPr>
      </w:r>
    </w:p>
    <w:p>
      <w:pPr>
        <w:pStyle w:val="BodyTextIndent"/>
        <w:rPr>
          <w:lang w:val="en-AU"/>
        </w:rPr>
      </w:pPr>
      <w:r>
        <w:rPr>
          <w:lang w:val="en-AU"/>
        </w:rPr>
        <w:t xml:space="preserve">Please note that the information in this table is intended as a summary only, and should be read in conjunction with our more detailed comments below. </w:t>
      </w:r>
    </w:p>
    <w:p>
      <w:pPr>
        <w:pStyle w:val="BodyTextIndent"/>
        <w:ind w:start="0" w:end="0"/>
        <w:rPr>
          <w:lang w:val="en-AU"/>
        </w:rPr>
      </w:pPr>
      <w:r>
        <w:rPr>
          <w:lang w:val="en-AU"/>
        </w:rPr>
      </w:r>
    </w:p>
    <w:p>
      <w:pPr>
        <w:pStyle w:val="BodyTextIndent"/>
        <w:numPr>
          <w:ilvl w:val="1"/>
          <w:numId w:val="6"/>
        </w:numPr>
        <w:rPr>
          <w:lang w:val="en-AU"/>
        </w:rPr>
      </w:pPr>
      <w:r>
        <w:rPr>
          <w:u w:val="single"/>
          <w:lang w:val="en-AU"/>
        </w:rPr>
        <w:t>OTC Securities Derivative Transactions</w:t>
      </w:r>
      <w:r>
        <w:rPr>
          <w:lang w:val="en-AU"/>
        </w:rPr>
        <w:t>.  Securities derivatives products are defined in the Securities and Exchange Law (“SEL”).  A copy of the relevant definitions is attached.  However, in summary, securities derivative products include the following:</w:t>
      </w:r>
    </w:p>
    <w:p>
      <w:pPr>
        <w:pStyle w:val="BodyTextIndent"/>
        <w:ind w:start="0" w:end="0"/>
        <w:rPr>
          <w:lang w:val="en-AU"/>
        </w:rPr>
      </w:pPr>
      <w:r>
        <w:rPr>
          <w:lang w:val="en-AU"/>
        </w:rPr>
      </w:r>
    </w:p>
    <w:p>
      <w:pPr>
        <w:pStyle w:val="BodyTextIndent"/>
        <w:numPr>
          <w:ilvl w:val="0"/>
          <w:numId w:val="2"/>
        </w:numPr>
        <w:rPr>
          <w:lang w:val="en-AU"/>
        </w:rPr>
      </w:pPr>
      <w:r>
        <w:rPr>
          <w:lang w:val="en-AU"/>
        </w:rPr>
        <w:t>listed securities derivatives including listed options with respect to securities and futures contracts in relation to securities; and</w:t>
      </w:r>
    </w:p>
    <w:p>
      <w:pPr>
        <w:pStyle w:val="BodyTextIndent"/>
        <w:ind w:start="709" w:end="0"/>
        <w:rPr>
          <w:lang w:val="en-AU"/>
        </w:rPr>
      </w:pPr>
      <w:r>
        <w:rPr>
          <w:lang w:val="en-AU"/>
        </w:rPr>
      </w:r>
    </w:p>
    <w:p>
      <w:pPr>
        <w:pStyle w:val="BodyTextIndent"/>
        <w:numPr>
          <w:ilvl w:val="0"/>
          <w:numId w:val="2"/>
        </w:numPr>
        <w:rPr>
          <w:lang w:val="en-AU"/>
        </w:rPr>
      </w:pPr>
      <w:r>
        <w:rPr>
          <w:lang w:val="en-AU"/>
        </w:rPr>
        <w:t xml:space="preserve">OTC securities derivatives including </w:t>
      </w:r>
      <w:r>
        <w:rPr>
          <w:lang w:val="en-AU" w:eastAsia="ja-JP"/>
        </w:rPr>
        <w:t xml:space="preserve">forwards, </w:t>
      </w:r>
      <w:r>
        <w:rPr>
          <w:lang w:val="en-AU"/>
        </w:rPr>
        <w:t>swaps and options (caps and floors) based on movements in the price of a security or a securities index.</w:t>
      </w:r>
    </w:p>
    <w:p>
      <w:pPr>
        <w:pStyle w:val="BodyTextIndent"/>
        <w:ind w:start="0" w:end="0"/>
        <w:rPr>
          <w:lang w:val="en-AU"/>
        </w:rPr>
      </w:pPr>
      <w:r>
        <w:rPr>
          <w:lang w:val="en-AU"/>
        </w:rPr>
      </w:r>
    </w:p>
    <w:p>
      <w:pPr>
        <w:pStyle w:val="BodyTextIndent"/>
        <w:ind w:start="709" w:end="0"/>
        <w:rPr/>
      </w:pPr>
      <w:r>
        <w:rPr>
          <w:lang w:val="en-AU" w:eastAsia="ja-JP"/>
        </w:rPr>
        <w:t xml:space="preserve">A business of entering into transactions of this type constitutes </w:t>
      </w:r>
      <w:r>
        <w:rPr/>
        <w:t xml:space="preserve">“securities business” under the SEL.  A person must be registered to conduct securities business (Article 28 of the SEL – copy attached for reference).  Further, to conduct business relating to OTC securities derivatives, a securities company must obtain an additional authorization (Article 29 of the SEL).  </w:t>
      </w:r>
    </w:p>
    <w:p>
      <w:pPr>
        <w:pStyle w:val="BodyTextIndent"/>
        <w:ind w:start="709" w:end="0"/>
        <w:rPr/>
      </w:pPr>
      <w:r>
        <w:rPr/>
      </w:r>
    </w:p>
    <w:p>
      <w:pPr>
        <w:pStyle w:val="BodyTextIndent"/>
        <w:ind w:start="709" w:end="0"/>
        <w:rPr/>
      </w:pPr>
      <w:r>
        <w:rPr/>
        <w:t>A bank, trust bank or other financial institution (designated by Cabinet Order) that is registered under Article 65(2)(7) and 65-2 of the SEL is also permitted to engage business relating to OTC securities derivatives transactions.  The applicable Cabinet Order refers to:</w:t>
      </w:r>
    </w:p>
    <w:p>
      <w:pPr>
        <w:pStyle w:val="BodyTextIndent"/>
        <w:ind w:start="709" w:end="0"/>
        <w:rPr/>
      </w:pPr>
      <w:r>
        <w:rPr/>
      </w:r>
    </w:p>
    <w:p>
      <w:pPr>
        <w:pStyle w:val="BodyTextIndent"/>
        <w:numPr>
          <w:ilvl w:val="0"/>
          <w:numId w:val="16"/>
        </w:numPr>
        <w:tabs>
          <w:tab w:val="clear" w:pos="720"/>
          <w:tab w:val="left" w:pos="1069" w:leader="none"/>
        </w:tabs>
        <w:ind w:hanging="360" w:start="1069" w:end="0"/>
        <w:rPr/>
      </w:pPr>
      <w:r>
        <w:rPr/>
        <w:t>insurance companies; and</w:t>
      </w:r>
    </w:p>
    <w:p>
      <w:pPr>
        <w:pStyle w:val="BodyTextIndent"/>
        <w:tabs>
          <w:tab w:val="clear" w:pos="720"/>
          <w:tab w:val="left" w:pos="1069" w:leader="none"/>
        </w:tabs>
        <w:ind w:start="1069" w:end="0"/>
        <w:rPr/>
      </w:pPr>
      <w:r>
        <w:rPr/>
      </w:r>
    </w:p>
    <w:p>
      <w:pPr>
        <w:pStyle w:val="BodyTextIndent"/>
        <w:numPr>
          <w:ilvl w:val="0"/>
          <w:numId w:val="16"/>
        </w:numPr>
        <w:tabs>
          <w:tab w:val="clear" w:pos="720"/>
          <w:tab w:val="left" w:pos="1069" w:leader="none"/>
        </w:tabs>
        <w:ind w:hanging="360" w:start="1069" w:end="0"/>
        <w:rPr/>
      </w:pPr>
      <w:r>
        <w:rPr/>
        <w:t>certain designated deposit taking institutions (including Norinchukin Bank).</w:t>
      </w:r>
    </w:p>
    <w:p>
      <w:pPr>
        <w:pStyle w:val="BodyTextIndent"/>
        <w:ind w:start="709" w:end="0"/>
        <w:rPr/>
      </w:pPr>
      <w:r>
        <w:rPr/>
      </w:r>
    </w:p>
    <w:p>
      <w:pPr>
        <w:pStyle w:val="BodyTextIndent"/>
        <w:ind w:start="709" w:end="0"/>
        <w:rPr/>
      </w:pPr>
      <w:r>
        <w:rPr/>
        <w:t>In this memorandum the securities companies, banks, trust banks, insurance companies and designated deposit institutions that are permitted to conduct OTC securities derivatives transactions are referred to as “OTC Institutions”.</w:t>
      </w:r>
    </w:p>
    <w:p>
      <w:pPr>
        <w:pStyle w:val="BodyTextIndent"/>
        <w:ind w:start="709" w:end="0"/>
        <w:rPr/>
      </w:pPr>
      <w:r>
        <w:rPr/>
      </w:r>
    </w:p>
    <w:p>
      <w:pPr>
        <w:pStyle w:val="BodyTextIndent"/>
        <w:ind w:start="709" w:end="0"/>
        <w:rPr/>
      </w:pPr>
      <w:r>
        <w:rPr/>
        <w:t>Accordingly, unless Enron Japan becomes a securities company, it will only be permitted to enter into listed securities derivatives with a securities company.  Unless Enron Japan becomes an OTC Institution, it will only be able to enter into OTC securities derivative transactions with OTC Institutions.</w:t>
      </w:r>
    </w:p>
    <w:p>
      <w:pPr>
        <w:pStyle w:val="BodyTextIndent"/>
        <w:ind w:start="709" w:end="0"/>
        <w:rPr/>
      </w:pPr>
      <w:r>
        <w:rPr/>
      </w:r>
    </w:p>
    <w:p>
      <w:pPr>
        <w:pStyle w:val="BodyTextIndent"/>
        <w:ind w:start="709" w:end="0"/>
        <w:rPr/>
      </w:pPr>
      <w:r>
        <w:rPr/>
        <w:t>Further, under the Foreign Securities Firms Law, foreign securities companies are not permitted to enter into OTC securities derivatives transactions with residents of Japan, other than OTC Institutions.  Thus, Enron Japan will not be able to enter into OTC securities derivatives transactions with non-residents.</w:t>
      </w:r>
    </w:p>
    <w:p>
      <w:pPr>
        <w:pStyle w:val="BodyTextIndent"/>
        <w:ind w:start="709" w:end="0"/>
        <w:rPr/>
      </w:pPr>
      <w:r>
        <w:rPr/>
      </w:r>
    </w:p>
    <w:p>
      <w:pPr>
        <w:pStyle w:val="BodyTextIndent"/>
        <w:ind w:start="709" w:end="0"/>
        <w:rPr/>
      </w:pPr>
      <w:r>
        <w:rPr/>
        <w:t>A foreign securities firm will be permitted to enter into a listed securities derivative transaction with Enron Japan – but only if the foreign securities firm has not solicited the transaction.  This exemption is very narrowly construed by the Japanese regulatory authorities and will be of little practical relevance.</w:t>
      </w:r>
    </w:p>
    <w:p>
      <w:pPr>
        <w:pStyle w:val="BodyTextIndent"/>
        <w:ind w:start="709" w:end="0"/>
        <w:rPr/>
      </w:pPr>
      <w:r>
        <w:rPr/>
      </w:r>
    </w:p>
    <w:p>
      <w:pPr>
        <w:pStyle w:val="BodyTextIndent"/>
        <w:numPr>
          <w:ilvl w:val="1"/>
          <w:numId w:val="6"/>
        </w:numPr>
        <w:rPr>
          <w:lang w:val="en-AU"/>
        </w:rPr>
      </w:pPr>
      <w:r>
        <w:rPr>
          <w:u w:val="single"/>
          <w:lang w:val="en-AU" w:eastAsia="ja-JP"/>
        </w:rPr>
        <w:t xml:space="preserve">Financial </w:t>
      </w:r>
      <w:r>
        <w:rPr>
          <w:u w:val="single"/>
          <w:lang w:val="en-AU" w:eastAsia="ja-JP"/>
        </w:rPr>
        <w:t>Futures Transactions</w:t>
      </w:r>
      <w:r>
        <w:rPr>
          <w:lang w:val="en-AU"/>
        </w:rPr>
        <w:t xml:space="preserve">.  The Financial Futures Trading Law (“FFTL”) was discussed in our report of January 14, 2000.  In summary, if Enron Japan wishes to conduct financial futures brokerage business it must hold a license.  If Enron Japan does not hold such a license, the counterparties with whom it may conduct financial futures transactions will be limited to banks, securities companies and members of a Financial Futures Exchange who are licensed as financial futures brokers.  </w:t>
      </w:r>
      <w:r>
        <w:rPr>
          <w:lang w:val="en-AU" w:eastAsia="ja-JP"/>
        </w:rPr>
        <w:t>Financial futures transactions</w:t>
      </w:r>
      <w:r>
        <w:rPr>
          <w:lang w:val="en-AU"/>
        </w:rPr>
        <w:t xml:space="preserve"> include the following:</w:t>
      </w:r>
    </w:p>
    <w:p>
      <w:pPr>
        <w:pStyle w:val="BodyTextIndent"/>
        <w:ind w:start="0" w:end="0"/>
        <w:rPr>
          <w:lang w:val="en-AU"/>
        </w:rPr>
      </w:pPr>
      <w:r>
        <w:rPr>
          <w:lang w:val="en-AU"/>
        </w:rPr>
      </w:r>
    </w:p>
    <w:p>
      <w:pPr>
        <w:pStyle w:val="BodyTextIndent"/>
        <w:numPr>
          <w:ilvl w:val="0"/>
          <w:numId w:val="11"/>
        </w:numPr>
        <w:rPr>
          <w:lang w:val="en-AU"/>
        </w:rPr>
      </w:pPr>
      <w:r>
        <w:rPr>
          <w:lang w:val="en-AU"/>
        </w:rPr>
        <w:t xml:space="preserve">futures contracts in relation to </w:t>
      </w:r>
      <w:r>
        <w:rPr>
          <w:lang w:val="en-AU" w:eastAsia="ja-JP"/>
        </w:rPr>
        <w:t>currencies, etc.</w:t>
      </w:r>
      <w:r>
        <w:rPr>
          <w:lang w:val="en-AU"/>
        </w:rPr>
        <w:t xml:space="preserve"> and listed options with respect to </w:t>
      </w:r>
      <w:r>
        <w:rPr>
          <w:lang w:val="en-AU" w:eastAsia="ja-JP"/>
        </w:rPr>
        <w:t>currencies, etc.</w:t>
      </w:r>
      <w:r>
        <w:rPr>
          <w:lang w:val="en-AU" w:eastAsia="ja-JP"/>
        </w:rPr>
        <w:t>(see Section 1(a)(iii) of our January 14, 2000 memorandum)</w:t>
      </w:r>
      <w:r>
        <w:rPr>
          <w:lang w:val="en-AU"/>
        </w:rPr>
        <w:t>; and</w:t>
      </w:r>
    </w:p>
    <w:p>
      <w:pPr>
        <w:pStyle w:val="BodyTextIndent"/>
        <w:ind w:start="709" w:end="0"/>
        <w:rPr>
          <w:lang w:val="en-AU"/>
        </w:rPr>
      </w:pPr>
      <w:r>
        <w:rPr>
          <w:lang w:val="en-AU"/>
        </w:rPr>
      </w:r>
    </w:p>
    <w:p>
      <w:pPr>
        <w:pStyle w:val="BodyTextIndent"/>
        <w:numPr>
          <w:ilvl w:val="0"/>
          <w:numId w:val="11"/>
        </w:numPr>
        <w:rPr>
          <w:lang w:val="en-AU"/>
        </w:rPr>
      </w:pPr>
      <w:r>
        <w:rPr>
          <w:lang w:val="en-AU"/>
        </w:rPr>
        <w:t xml:space="preserve">OTC </w:t>
      </w:r>
      <w:r>
        <w:rPr>
          <w:lang w:val="en-AU" w:eastAsia="ja-JP"/>
        </w:rPr>
        <w:t>financial futures transactions</w:t>
      </w:r>
      <w:r>
        <w:rPr>
          <w:lang w:val="en-AU" w:eastAsia="ja-JP"/>
        </w:rPr>
        <w:t xml:space="preserve"> (see Section 1(b)(iii) of the January 14, 2000 memorandum)</w:t>
      </w:r>
      <w:r>
        <w:rPr>
          <w:lang w:val="en-AU"/>
        </w:rPr>
        <w:t>.</w:t>
      </w:r>
    </w:p>
    <w:p>
      <w:pPr>
        <w:pStyle w:val="Normal"/>
        <w:rPr>
          <w:rFonts w:ascii="Times New Roman;Times New Roman" w:hAnsi="Times New Roman;Times New Roman" w:cs="Times New Roman;Times New Roman"/>
          <w:lang w:val="en-AU" w:eastAsia="ja-JP"/>
        </w:rPr>
      </w:pPr>
      <w:r>
        <w:rPr>
          <w:rFonts w:cs="Times New Roman;Times New Roman" w:ascii="Times New Roman;Times New Roman" w:hAnsi="Times New Roman;Times New Roman"/>
          <w:lang w:val="en-AU" w:eastAsia="ja-JP"/>
        </w:rPr>
      </w:r>
    </w:p>
    <w:p>
      <w:pPr>
        <w:pStyle w:val="Normal"/>
        <w:ind w:hanging="709" w:start="709" w:end="0"/>
        <w:rPr/>
      </w:pPr>
      <w:r>
        <w:rPr>
          <w:rFonts w:cs="Times New Roman;Times New Roman" w:ascii="Times New Roman;Times New Roman" w:hAnsi="Times New Roman;Times New Roman"/>
        </w:rPr>
        <w:t>2.4</w:t>
        <w:tab/>
      </w:r>
      <w:r>
        <w:rPr>
          <w:rFonts w:cs="Times New Roman;Times New Roman" w:ascii="Times New Roman;Times New Roman" w:hAnsi="Times New Roman;Times New Roman"/>
          <w:u w:val="single"/>
        </w:rPr>
        <w:t>Interest Rates and Foreign Exchange Transactions.</w:t>
      </w:r>
      <w:r>
        <w:rPr>
          <w:rFonts w:cs="Times New Roman;Times New Roman" w:ascii="Times New Roman;Times New Roman" w:hAnsi="Times New Roman;Times New Roman"/>
        </w:rPr>
        <w:t xml:space="preserve">  Transactions with respect to interest rates and foreign exchange (other than financial futures transactions) are generally not subject to specific regulation in Japan.  Banks, securities companies are permitted to enter into transactions of this type as part of their ancillary business, but are not granted an exclusive mandate to conduct these transactions.  </w:t>
      </w:r>
    </w:p>
    <w:p>
      <w:pPr>
        <w:pStyle w:val="Normal"/>
        <w:ind w:hanging="709" w:start="709" w:end="0"/>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tab/>
        <w:t xml:space="preserve">Accordingly, it would be possible for Enron Japan to conduct interest rate and foreign exchange transactions with ordinary Japanese corporations as well as financial institutions.  </w:t>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tab/>
        <w:t>However, in the event that Enron Japan does conduct interest rate or foreign exchange transactions with a  corporation that is not a financial institution, the risk that the transaction may be considered to be gambling increases.  As discussed in 1(b)(vi) of our January 14, 2000 memorandum, the fact that one of the parties to a derivative transaction is authorized by statute to enter into the transaction will constitute a defense to an allegation that the transaction constitutes gambling.  If neither party to the transaction has the benefit of a specific authorization, it will be necessary to rebut an allegation of gambling by arguing that the parties had a legitimate business reason for entering into the transaction.</w:t>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tab/>
        <w:t>In addition, where the transaction constitutes an OTC financial futures transaction (for example, a swap where the price is based on an interest rate index quoted on a financial futures exchange), the transaction will be regulated under the Financial Futures Trading Law (see paragraph 2.34 above).</w:t>
      </w:r>
    </w:p>
    <w:p>
      <w:pPr>
        <w:pStyle w:val="Normal"/>
        <w:ind w:hanging="709" w:start="709"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720" w:start="720" w:end="0"/>
        <w:rPr/>
      </w:pPr>
      <w:r>
        <w:rPr>
          <w:rFonts w:cs="Times New Roman;Times New Roman" w:ascii="Times New Roman;Times New Roman" w:hAnsi="Times New Roman;Times New Roman"/>
        </w:rPr>
        <w:t>2.5</w:t>
        <w:tab/>
      </w:r>
      <w:r>
        <w:rPr>
          <w:rFonts w:cs="Times New Roman;Times New Roman" w:ascii="Times New Roman;Times New Roman" w:hAnsi="Times New Roman;Times New Roman"/>
          <w:u w:val="single"/>
        </w:rPr>
        <w:t>Bond Transactions</w:t>
      </w:r>
      <w:r>
        <w:rPr>
          <w:rFonts w:cs="Times New Roman;Times New Roman" w:ascii="Times New Roman;Times New Roman" w:hAnsi="Times New Roman;Times New Roman"/>
        </w:rPr>
        <w:t>.  There are two types of Transactions with respect to Bonds into which Enron Japan may enter for its own account:</w:t>
      </w:r>
    </w:p>
    <w:p>
      <w:pPr>
        <w:pStyle w:val="Normal"/>
        <w:keepLines/>
        <w:autoSpaceDE w:val="false"/>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keepLines/>
        <w:autoSpaceDE w:val="false"/>
        <w:ind w:hanging="567" w:start="1287"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    purchase and sales of Bonds; and</w:t>
      </w:r>
    </w:p>
    <w:p>
      <w:pPr>
        <w:pStyle w:val="Normal"/>
        <w:keepLines/>
        <w:autoSpaceDE w:val="false"/>
        <w:ind w:hanging="567" w:start="1985"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color w:val="000000"/>
        </w:rPr>
        <w:tab/>
        <w:t>(b)    repurchase or reciprocal purchase transactions involving Bonds.</w:t>
      </w:r>
    </w:p>
    <w:p>
      <w:pPr>
        <w:pStyle w:val="Normal"/>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ind w:start="709" w:end="0"/>
        <w:rPr>
          <w:rFonts w:ascii="Times New Roman;Times New Roman" w:hAnsi="Times New Roman;Times New Roman" w:cs="Times New Roman;Times New Roman"/>
        </w:rPr>
      </w:pPr>
      <w:r>
        <w:rPr>
          <w:rFonts w:cs="Times New Roman;Times New Roman" w:ascii="Times New Roman;Times New Roman" w:hAnsi="Times New Roman;Times New Roman"/>
        </w:rPr>
        <w:t>Bonds fall within the definition of “securities” under the SEL, and the conduct of a business for the purchase and sale of securities constitutes “securities business” for which registration is required.  Accordingly, Enron may only conduct buy/sell transactions with respect to bonds (including buy/sell repo transactions) with a registered securities company.</w:t>
      </w:r>
    </w:p>
    <w:p>
      <w:pPr>
        <w:pStyle w:val="Normal"/>
        <w:ind w:start="709"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709" w:end="0"/>
        <w:rPr>
          <w:rFonts w:ascii="Times New Roman;Times New Roman" w:hAnsi="Times New Roman;Times New Roman" w:cs="Times New Roman;Times New Roman"/>
        </w:rPr>
      </w:pPr>
      <w:r>
        <w:rPr>
          <w:rFonts w:cs="Times New Roman;Times New Roman" w:ascii="Times New Roman;Times New Roman" w:hAnsi="Times New Roman;Times New Roman"/>
        </w:rPr>
        <w:t>However, Enron Japan will be able to enter into bond lending transactions as lending transactions do not fall within the scope of securities business under the SEL.  As a practical matter, this may be more significant than the ability to engage in buy/sell transactions because most domestic bond repo transactions in Japan are structured as lending rather than buy/sell transactions.</w:t>
      </w:r>
    </w:p>
    <w:p>
      <w:pPr>
        <w:pStyle w:val="BodyTextIndent"/>
        <w:ind w:start="0" w:end="0"/>
        <w:rPr>
          <w:rFonts w:ascii="Times New Roman;Times New Roman" w:hAnsi="Times New Roman;Times New Roman" w:cs="Times New Roman;Times New Roman"/>
          <w:lang w:val="en-AU"/>
        </w:rPr>
      </w:pPr>
      <w:r>
        <w:rPr>
          <w:rFonts w:cs="Times New Roman;Times New Roman"/>
          <w:lang w:val="en-AU"/>
        </w:rPr>
      </w:r>
    </w:p>
    <w:p>
      <w:pPr>
        <w:pStyle w:val="Heading2"/>
        <w:spacing w:before="0" w:after="0"/>
        <w:ind w:hanging="0" w:start="0"/>
        <w:rPr/>
      </w:pPr>
      <w:r>
        <w:rPr>
          <w:rFonts w:cs="Times New Roman;Times New Roman" w:ascii="Times New Roman;Times New Roman" w:hAnsi="Times New Roman;Times New Roman"/>
          <w:b w:val="false"/>
          <w:lang w:val="en-AU"/>
        </w:rPr>
        <w:t>3.</w:t>
        <w:tab/>
      </w:r>
      <w:r>
        <w:rPr>
          <w:rFonts w:cs="Times New Roman;Times New Roman" w:ascii="Times New Roman;Times New Roman" w:hAnsi="Times New Roman;Times New Roman"/>
          <w:b w:val="false"/>
          <w:u w:val="single"/>
          <w:lang w:val="en-AU"/>
        </w:rPr>
        <w:t>Enron Japan Acting as an Agent.</w:t>
      </w:r>
    </w:p>
    <w:p>
      <w:pPr>
        <w:pStyle w:val="Normal"/>
        <w:rPr>
          <w:rFonts w:ascii="Times New Roman;Times New Roman" w:hAnsi="Times New Roman;Times New Roman" w:cs="Times New Roman;Times New Roman"/>
          <w:b/>
          <w:u w:val="single"/>
          <w:lang w:val="en-AU"/>
        </w:rPr>
      </w:pPr>
      <w:r>
        <w:rPr>
          <w:rFonts w:cs="Times New Roman;Times New Roman" w:ascii="Times New Roman;Times New Roman" w:hAnsi="Times New Roman;Times New Roman"/>
          <w:b/>
          <w:u w:val="single"/>
          <w:lang w:val="en-AU"/>
        </w:rPr>
      </w:r>
    </w:p>
    <w:p>
      <w:pPr>
        <w:pStyle w:val="BodyTextIndent"/>
        <w:ind w:hanging="709" w:start="709" w:end="0"/>
        <w:rPr/>
      </w:pPr>
      <w:r>
        <w:rPr/>
        <w:t>3.1</w:t>
        <w:tab/>
        <w:tab/>
      </w:r>
      <w:r>
        <w:rPr>
          <w:u w:val="single"/>
        </w:rPr>
        <w:t>OTC Securities Derivative Transactions</w:t>
      </w:r>
      <w:r>
        <w:rPr/>
        <w:t>. Acting as an agent in relation to OTC securities derivatives transactions (or listed securities derivatives transactions) falls within the definition of securities business under the SEL.  Accordingly, Enron Japan would be required to become an OTC Institution (or a securities company) in order to act as an agent for Enron Corp. in relation to transactions of this type.</w:t>
      </w:r>
    </w:p>
    <w:p>
      <w:pPr>
        <w:pStyle w:val="BodyTextIndent"/>
        <w:ind w:hanging="709" w:start="709" w:end="0"/>
        <w:rPr>
          <w:u w:val="single"/>
        </w:rPr>
      </w:pPr>
      <w:r>
        <w:rPr>
          <w:u w:val="single"/>
        </w:rPr>
      </w:r>
    </w:p>
    <w:p>
      <w:pPr>
        <w:pStyle w:val="BodyTextIndent"/>
        <w:ind w:hanging="709" w:start="709" w:end="0"/>
        <w:rPr/>
      </w:pPr>
      <w:r>
        <w:rPr/>
        <w:tab/>
        <w:t>Enron Corp. would be able to conduct:</w:t>
      </w:r>
    </w:p>
    <w:p>
      <w:pPr>
        <w:pStyle w:val="BodyTextIndent"/>
        <w:ind w:hanging="709" w:start="709" w:end="0"/>
        <w:rPr/>
      </w:pPr>
      <w:r>
        <w:rPr/>
      </w:r>
    </w:p>
    <w:p>
      <w:pPr>
        <w:pStyle w:val="BodyTextIndent"/>
        <w:numPr>
          <w:ilvl w:val="0"/>
          <w:numId w:val="14"/>
        </w:numPr>
        <w:tabs>
          <w:tab w:val="clear" w:pos="720"/>
          <w:tab w:val="left" w:pos="1069" w:leader="none"/>
        </w:tabs>
        <w:ind w:hanging="360" w:start="1069" w:end="0"/>
        <w:rPr/>
      </w:pPr>
      <w:r>
        <w:rPr/>
        <w:t>OTC securities derivative transactions directly with a counterparty in Japan if such counterparty is an OTC Institution;</w:t>
      </w:r>
    </w:p>
    <w:p>
      <w:pPr>
        <w:pStyle w:val="BodyTextIndent"/>
        <w:ind w:hanging="709" w:start="1418" w:end="0"/>
        <w:rPr/>
      </w:pPr>
      <w:r>
        <w:rPr/>
      </w:r>
    </w:p>
    <w:p>
      <w:pPr>
        <w:pStyle w:val="BodyTextIndent"/>
        <w:numPr>
          <w:ilvl w:val="0"/>
          <w:numId w:val="14"/>
        </w:numPr>
        <w:tabs>
          <w:tab w:val="clear" w:pos="720"/>
          <w:tab w:val="left" w:pos="1069" w:leader="none"/>
        </w:tabs>
        <w:ind w:hanging="360" w:start="1069" w:end="0"/>
        <w:rPr/>
      </w:pPr>
      <w:r>
        <w:rPr/>
        <w:t>listed securities derivative transactions directly with a counterparty in Japan if such counterparty is a securities company</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720" w:start="720" w:end="0"/>
        <w:rPr/>
      </w:pPr>
      <w:r>
        <w:rPr>
          <w:rFonts w:cs="Times New Roman;Times New Roman" w:ascii="Times New Roman;Times New Roman" w:hAnsi="Times New Roman;Times New Roman"/>
        </w:rPr>
        <w:t>3.2</w:t>
        <w:tab/>
      </w:r>
      <w:r>
        <w:rPr>
          <w:rFonts w:cs="Times New Roman;Times New Roman" w:ascii="Times New Roman;Times New Roman" w:hAnsi="Times New Roman;Times New Roman"/>
          <w:u w:val="single"/>
        </w:rPr>
        <w:t>Interest Rate and Foreign Exchange Transactions</w:t>
      </w:r>
      <w:r>
        <w:rPr>
          <w:rFonts w:cs="Times New Roman;Times New Roman" w:ascii="Times New Roman;Times New Roman" w:hAnsi="Times New Roman;Times New Roman"/>
        </w:rPr>
        <w:t xml:space="preserve">.   Transactions with respect to interest rates and foreign exchange (other than transactions relating to financial futures) are generally unregulated, and it would be possible for Enron Japan to act as agent for Enron Corp. in entering into transactions of this type with counterparties in Japan.  </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705"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As Enron Corp. is a non-resident, foreign exchange reporting requirements will apply both to the entering into the agreement and to payments (or payment netting) under the agreement.  These reporting requirements are imposed on the resident counterparty to the transaction (neither Enron Corp. nor Enron Japan will be subject to reporting requirements).  Please let us know if you need details of these reporting requirements </w:t>
      </w:r>
    </w:p>
    <w:p>
      <w:pPr>
        <w:pStyle w:val="BodyTextIndent"/>
        <w:tabs>
          <w:tab w:val="clear" w:pos="720"/>
          <w:tab w:val="left" w:pos="1418" w:leader="none"/>
        </w:tabs>
        <w:ind w:hanging="709" w:start="1418" w:end="0"/>
        <w:rPr>
          <w:rFonts w:ascii="Times New Roman;Times New Roman" w:hAnsi="Times New Roman;Times New Roman" w:cs="Times New Roman;Times New Roman"/>
        </w:rPr>
      </w:pPr>
      <w:r>
        <w:rPr>
          <w:rFonts w:cs="Times New Roman;Times New Roman"/>
        </w:rPr>
      </w:r>
    </w:p>
    <w:p>
      <w:pPr>
        <w:pStyle w:val="Normal"/>
        <w:ind w:hanging="709" w:start="709" w:end="0"/>
        <w:rPr/>
      </w:pPr>
      <w:r>
        <w:rPr>
          <w:rFonts w:cs="Times New Roman;Times New Roman" w:ascii="Times New Roman;Times New Roman" w:hAnsi="Times New Roman;Times New Roman"/>
        </w:rPr>
        <w:t>3.3</w:t>
        <w:tab/>
      </w:r>
      <w:r>
        <w:rPr>
          <w:rFonts w:cs="Times New Roman;Times New Roman" w:ascii="Times New Roman;Times New Roman" w:hAnsi="Times New Roman;Times New Roman"/>
          <w:u w:val="single"/>
        </w:rPr>
        <w:t>Financial Futures Transactions</w:t>
      </w:r>
      <w:r>
        <w:rPr>
          <w:rFonts w:cs="Times New Roman;Times New Roman" w:ascii="Times New Roman;Times New Roman" w:hAnsi="Times New Roman;Times New Roman"/>
        </w:rPr>
        <w:t xml:space="preserve">:  The Financial Futures Trading Law (“FFTL”) is structured similarly to the SEL.  There is a general prohibition on the conduct of financial futures brokerage business without a license.  </w:t>
      </w:r>
    </w:p>
    <w:p>
      <w:pPr>
        <w:pStyle w:val="Norma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Article 56 of the FFTL states that a person must be licensed in order to conduct financial futures brokerage business.  Financial futures brokerage business is defined in Article 2(9) of the FFTL as accepting orders for financial futures transactions (on a local or overseas market) or assuming the duties of an intermediary, broker or agent with respect to such orders.  A translation of the definition of a "financial futures transaction" is attached.  </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Accordingly, if Enron Japan wishes to act as the agent of Enron Corp. in relation to financial futures transactions, it will be required to hold a license as a financial futures broker.</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Indent"/>
        <w:ind w:hanging="709" w:start="709" w:end="0"/>
        <w:rPr/>
      </w:pPr>
      <w:r>
        <w:rPr/>
        <w:tab/>
        <w:t xml:space="preserve">Enron Corp. would be able to conduct financial futures transactions directly with a counterparty in Japan if such counterparty is a </w:t>
      </w:r>
      <w:r>
        <w:rPr>
          <w:lang w:val="en-AU"/>
        </w:rPr>
        <w:t>bank, securities company or member of a Financial Futures Exchange that is licensed as a financial futures brokers</w:t>
      </w:r>
      <w:r>
        <w:rPr/>
        <w:t>.</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4.</w:t>
        <w:tab/>
      </w:r>
      <w:r>
        <w:rPr>
          <w:rFonts w:cs="Times New Roman;Times New Roman" w:ascii="Times New Roman;Times New Roman" w:hAnsi="Times New Roman;Times New Roman"/>
          <w:u w:val="single"/>
        </w:rPr>
        <w:t>Back-to-Back Transactions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720" w:start="720" w:end="0"/>
        <w:rPr/>
      </w:pPr>
      <w:r>
        <w:rPr>
          <w:rFonts w:cs="Times New Roman;Times New Roman" w:ascii="Times New Roman;Times New Roman" w:hAnsi="Times New Roman;Times New Roman"/>
        </w:rPr>
        <w:t>4.1</w:t>
        <w:tab/>
      </w:r>
      <w:r>
        <w:rPr>
          <w:rFonts w:cs="Times New Roman;Times New Roman" w:ascii="Times New Roman;Times New Roman" w:hAnsi="Times New Roman;Times New Roman"/>
          <w:u w:val="single"/>
        </w:rPr>
        <w:t>OTC Securities Derivative Transactions</w:t>
      </w:r>
      <w:r>
        <w:rPr>
          <w:rFonts w:cs="Times New Roman;Times New Roman" w:ascii="Times New Roman;Times New Roman" w:hAnsi="Times New Roman;Times New Roman"/>
        </w:rPr>
        <w:t>:  Entering into OTC securities derivatives (or listed securities derivatives transactions) may constitute securities business even if the counterparty to the transactions is located outside Japan.  Accordingly, unless Enron Japan becomes an OTC Institution (or a securities company) it will not be able to enter transaction of this type with Enron Corp.</w:t>
      </w:r>
    </w:p>
    <w:p>
      <w:pPr>
        <w:pStyle w:val="Normal"/>
        <w:ind w:hanging="720" w:start="720" w:end="0"/>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ind w:hanging="720" w:start="720" w:end="0"/>
        <w:rPr/>
      </w:pPr>
      <w:r>
        <w:rPr>
          <w:rFonts w:cs="Times New Roman;Times New Roman" w:ascii="Times New Roman;Times New Roman" w:hAnsi="Times New Roman;Times New Roman"/>
        </w:rPr>
        <w:t>4.2</w:t>
        <w:tab/>
      </w:r>
      <w:r>
        <w:rPr>
          <w:rFonts w:cs="Times New Roman;Times New Roman" w:ascii="Times New Roman;Times New Roman" w:hAnsi="Times New Roman;Times New Roman"/>
          <w:u w:val="single"/>
        </w:rPr>
        <w:t>Interest Rate and Foreign Exchange Transactions</w:t>
      </w:r>
      <w:r>
        <w:rPr>
          <w:rFonts w:cs="Times New Roman;Times New Roman" w:ascii="Times New Roman;Times New Roman" w:hAnsi="Times New Roman;Times New Roman"/>
        </w:rPr>
        <w:t>:  Enron Corp.  will be able to enter into interest rate and foreign exchange transactions (other than financial futures transactions) with Enron Japan.  In this case, Enron Japan will be resident party to the transaction and will be required to comply with the foreign exchange filing requirements.</w:t>
      </w:r>
    </w:p>
    <w:p>
      <w:pPr>
        <w:pStyle w:val="Normal"/>
        <w:ind w:hanging="720" w:start="720" w:end="0"/>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ind w:hanging="720" w:start="720" w:end="0"/>
        <w:rPr/>
      </w:pPr>
      <w:r>
        <w:rPr>
          <w:rFonts w:cs="Times New Roman;Times New Roman" w:ascii="Times New Roman;Times New Roman" w:hAnsi="Times New Roman;Times New Roman"/>
        </w:rPr>
        <w:t>4.3</w:t>
        <w:tab/>
      </w:r>
      <w:r>
        <w:rPr>
          <w:rFonts w:cs="Times New Roman;Times New Roman" w:ascii="Times New Roman;Times New Roman" w:hAnsi="Times New Roman;Times New Roman"/>
          <w:u w:val="single"/>
        </w:rPr>
        <w:t>Financial Futures Transactions</w:t>
      </w:r>
      <w:r>
        <w:rPr>
          <w:rFonts w:cs="Times New Roman;Times New Roman" w:ascii="Times New Roman;Times New Roman" w:hAnsi="Times New Roman;Times New Roman"/>
        </w:rPr>
        <w:t>:  Entering into financial futures transactions may constitute financial futures brokerage business even if the counterparty to the transactions is located outside Japan.  Accordingly, unless Enron Japan becomes licensed as a financial futures broker, it will not be able to enter into financial futures transactions with Enron Corp.</w:t>
      </w:r>
    </w:p>
    <w:p>
      <w:pPr>
        <w:pStyle w:val="Normal"/>
        <w:ind w:hanging="720"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We trust that the above is responsive to your inquiry.  If you have any questions or comments, please do not hesitate to contact us.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Best regards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720" w:end="0"/>
        <w:rPr>
          <w:rFonts w:ascii="Times New Roman;Times New Roman" w:hAnsi="Times New Roman;Times New Roman" w:cs="Times New Roman;Times New Roman"/>
          <w:sz w:val="23"/>
        </w:rPr>
      </w:pPr>
      <w:r>
        <w:rPr>
          <w:rFonts w:cs="Times New Roman;Times New Roman" w:ascii="Times New Roman;Times New Roman" w:hAnsi="Times New Roman;Times New Roman"/>
          <w:sz w:val="23"/>
        </w:rPr>
      </w:r>
    </w:p>
    <w:p>
      <w:pPr>
        <w:pStyle w:val="Normal"/>
        <w:ind w:start="720" w:end="0"/>
        <w:rPr>
          <w:rFonts w:ascii="Times New Roman;Times New Roman" w:hAnsi="Times New Roman;Times New Roman" w:cs="Times New Roman;Times New Roman"/>
          <w:sz w:val="23"/>
          <w:lang w:val="en-AU"/>
        </w:rPr>
      </w:pPr>
      <w:r>
        <w:rPr>
          <w:rFonts w:cs="Times New Roman;Times New Roman" w:ascii="Times New Roman;Times New Roman" w:hAnsi="Times New Roman;Times New Roman"/>
          <w:sz w:val="23"/>
          <w:lang w:val="en-AU"/>
        </w:rPr>
      </w:r>
    </w:p>
    <w:p>
      <w:pPr>
        <w:pStyle w:val="Normal"/>
        <w:ind w:end="-90"/>
        <w:jc w:val="center"/>
        <w:rPr>
          <w:rFonts w:ascii="Times New Roman;Times New Roman" w:hAnsi="Times New Roman;Times New Roman" w:cs="Times New Roman;Times New Roman"/>
          <w:sz w:val="23"/>
          <w:lang w:val="en-AU"/>
        </w:rPr>
      </w:pPr>
      <w:r>
        <w:rPr>
          <w:rFonts w:cs="Times New Roman;Times New Roman" w:ascii="Times New Roman;Times New Roman" w:hAnsi="Times New Roman;Times New Roman"/>
          <w:sz w:val="23"/>
          <w:lang w:val="en-AU"/>
        </w:rPr>
      </w:r>
      <w:r>
        <w:br w:type="page"/>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Annexure 1</w:t>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Part 1: Extracted Definitions from the Securities and Exchange Law</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  - "security"</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security</w:t>
      </w:r>
      <w:r>
        <w:rPr>
          <w:rFonts w:cs="Times New Roman;Times New Roman" w:ascii="Times New Roman;Times New Roman" w:hAnsi="Times New Roman;Times New Roman"/>
          <w:sz w:val="20"/>
        </w:rPr>
        <w:t>" as used in this Law means any instruments below specified:</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Government securities,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municipal bonds,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debt securities issued by juridical persons under special enabling laws (excluding those listed in the next item),</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(3)-2</w:t>
        <w:tab/>
        <w:t>specified corporate bond certificates prescribed in the Law Concerning the Liquidation of  Specified Asset by Special Purpose Companies,</w:t>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corporate debt securities (including corporate debt securities issued by mutual companies),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equity investment certificates issued by juridical persons established under special enabling laws (excluding those referred to in the next item, Item </w:t>
      </w:r>
      <w:r>
        <w:rPr>
          <w:rFonts w:cs="Times New Roman;Times New Roman" w:ascii="Times New Roman;Times New Roman" w:hAnsi="Times New Roman;Times New Roman"/>
          <w:b/>
          <w:sz w:val="20"/>
        </w:rPr>
        <w:t xml:space="preserve">(5)-3 </w:t>
      </w:r>
      <w:r>
        <w:rPr>
          <w:rFonts w:cs="Times New Roman;Times New Roman" w:ascii="Times New Roman;Times New Roman" w:hAnsi="Times New Roman;Times New Roman"/>
          <w:sz w:val="20"/>
        </w:rPr>
        <w:t xml:space="preserve">and Item </w:t>
      </w:r>
      <w:r>
        <w:rPr>
          <w:rFonts w:cs="Times New Roman;Times New Roman" w:ascii="Times New Roman;Times New Roman" w:hAnsi="Times New Roman;Times New Roman"/>
          <w:b/>
          <w:sz w:val="20"/>
        </w:rPr>
        <w:t>(7)-2,</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(5)-2</w:t>
        <w:tab/>
        <w:t>preferred equity investment certificates (referred to in Item (6) of Article 166 hereof as "preferred equity investment certificates") or instruments representing the right to subscribe to preferred equity investments prescribed in the Law Concerning Preferred Equity Investment in Cooperative Financial Institutions (Law No. 44 of 1993, hereinafter referred to as "the Preferred Equity Investment Law"),</w:t>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(5)-3</w:t>
        <w:tab/>
        <w:t>preferred equity investment certificates prescribed in the Law Concerning the Liquidation of Specified Asset by Special Purpose Companies,</w:t>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share certificates (including certificates of fractional shares; the same shall apply hereinafter in this law) and certificates or instruments representing preemptive rights,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beneficiary certificates of securities investment trusts or foreign securities investment trusts prescribed in the Law Concerning Securities Investment Trusts and Securities Investment Corporations (Law No. 198 of 1951),</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(7)-2</w:t>
        <w:tab/>
        <w:t>investment certificates or foreign investment certificates prescribed in the Law Concerning Securities Investment Trusts and Securities Investment Corporations,</w:t>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(7)-3</w:t>
        <w:tab/>
        <w:t>beneficiary certificates of loan trusts,</w:t>
      </w:r>
    </w:p>
    <w:p>
      <w:pPr>
        <w:pStyle w:val="Normal"/>
        <w:ind w:hanging="731"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such promissory notes issued by a juridical person to raise funds necessary for its business as may be prescribed by an ordinance of the Ministry of Finance,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such certificates or instruments issued by the government or a juridical person of a foreign country which have the attributes of certificates or instruments set forth in Items (1) through Item (6) hereof or in the preceding two items, </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such certificates or instruments issued by a foreign juridical person which represent the beneficiary rights to a trust of loan claims or a right similar thereto which are conveyed in trust by a person engaged in the banking business or by any other person engaged in the business of money lending as may be prescribed by an ordinance of the Ministry of Finance,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698" w:end="0"/>
        <w:rPr/>
      </w:pPr>
      <w:r>
        <w:rPr>
          <w:rFonts w:cs="Times New Roman;Times New Roman" w:ascii="Times New Roman;Times New Roman" w:hAnsi="Times New Roman;Times New Roman"/>
          <w:sz w:val="20"/>
        </w:rPr>
        <w:t>(10)-2</w:t>
        <w:tab/>
        <w:t>certificates or instruments referred to in each of the preceding items, the next item, or Item (11), or certificates or instruments which represent the rights prescribed in each item of Paragraph 15 or Paragraph 19 relating to the rights referred to in each item of the same paragraphs which are considered as a security under the provisions of the next paragraph (including the rights prescribed in each item of Paragraph 15 or Paragraph 19 relating to the certificates or instruments representing such rights; hereinafter referred to as "</w:t>
      </w:r>
      <w:r>
        <w:rPr>
          <w:rFonts w:cs="Times New Roman;Times New Roman" w:ascii="Times New Roman;Times New Roman" w:hAnsi="Times New Roman;Times New Roman"/>
          <w:b/>
          <w:sz w:val="20"/>
        </w:rPr>
        <w:t>operations</w:t>
      </w:r>
      <w:r>
        <w:rPr>
          <w:rFonts w:cs="Times New Roman;Times New Roman" w:ascii="Times New Roman;Times New Roman" w:hAnsi="Times New Roman;Times New Roman"/>
          <w:sz w:val="20"/>
        </w:rPr>
        <w:t>",</w:t>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(10)-3</w:t>
        <w:tab/>
        <w:t>certificates or instruments, issued by any person who has received the deposit of certificates or instruments referred to in each of the preceding items in a country other than the one in which such certificates or instruments were issued, which represent the rights relating to such deposited certificates or instruments,</w:t>
      </w:r>
    </w:p>
    <w:p>
      <w:pPr>
        <w:pStyle w:val="Normal"/>
        <w:ind w:hanging="720" w:start="69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8"/>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such certificates or instruments, other that those referred to in the preceding items, as may be prescribed by a Cabinet order as those which are deemed necessary in the public interest or to ensure the protection of investors in light of their liquidity and other circumstances surrounding them.</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end="-9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2(8) - "securities business"</w:t>
      </w:r>
    </w:p>
    <w:p>
      <w:pPr>
        <w:pStyle w:val="Normal"/>
        <w:ind w:end="-9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securities business</w:t>
      </w:r>
      <w:r>
        <w:rPr>
          <w:rFonts w:cs="Times New Roman;Times New Roman" w:ascii="Times New Roman;Times New Roman" w:hAnsi="Times New Roman;Times New Roman"/>
          <w:sz w:val="20"/>
        </w:rPr>
        <w:t>" used in this law means any business performing any of the acts below set forth by any person other than banks, trust companies, and such other financial institutions as may be prescribed by a Cabinet order.</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Buying and selling securities (excluding securities forward delivery transactions made; the same shall apply hereinafter in this paragraph), trading in securities index futures, trading in securities options, or trading in securities futures of foreign markets (excluding those referred to in Item (7) in the case of buying and selling securities),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Acting as a broker, agent, or intermediary with respect to buying and selling securities or trading in securities index futures, trading in securities options or in securities futures of foreign markets (excluding those referred to in Item (7) in the case of acting as a broker, agent, or proxy with respect to buying and selling securities),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Acting as a broker, agent, or intermediary with respect to placing an order for the transactions below set forth:</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3"/>
        </w:numPr>
        <w:tabs>
          <w:tab w:val="clear" w:pos="720"/>
        </w:tabs>
        <w:ind w:hanging="735" w:start="1455"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buying or selling securities, trading in securities index futures or in securities options to be conducted on the securities market of an exchange, and </w:t>
      </w:r>
    </w:p>
    <w:p>
      <w:pPr>
        <w:pStyle w:val="Normal"/>
        <w:ind w:start="11"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09" w:start="1429"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w:t>
        <w:tab/>
        <w:t>buying or selling securities or trading in securities futures of foreign markets on foreign securities markets (this refers to a market similar to the securities market of an exchange which exists in a foreign country, the same shall apply hereinafter),</w:t>
      </w:r>
    </w:p>
    <w:p>
      <w:pPr>
        <w:pStyle w:val="Normal"/>
        <w:ind w:hanging="709" w:start="141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09" w:start="709" w:end="0"/>
        <w:rPr/>
      </w:pPr>
      <w:r>
        <w:rPr>
          <w:rFonts w:cs="Times New Roman;Times New Roman" w:ascii="Times New Roman;Times New Roman" w:hAnsi="Times New Roman;Times New Roman"/>
          <w:sz w:val="20"/>
        </w:rPr>
        <w:t>(3)-2</w:t>
        <w:tab/>
        <w:t>securities forward delivery transactions, over-the-counter securities index forward delivery transactions, transactions in over-the-counter securities options, transactions in over-the-counter securities index swaps (hereinafter collectively referred to as "OTC securities derivatives trading"), or acting as a broker, agent or proxy with respect to such transactions (hereinafter collectively referred to as "</w:t>
      </w:r>
      <w:r>
        <w:rPr>
          <w:rFonts w:cs="Times New Roman;Times New Roman" w:ascii="Times New Roman;Times New Roman" w:hAnsi="Times New Roman;Times New Roman"/>
          <w:b/>
          <w:sz w:val="20"/>
        </w:rPr>
        <w:t>OTC securities derivatives transactions, etc</w:t>
      </w:r>
      <w:r>
        <w:rPr>
          <w:rFonts w:cs="Times New Roman;Times New Roman" w:ascii="Times New Roman;Times New Roman" w:hAnsi="Times New Roman;Times New Roman"/>
          <w:sz w:val="20"/>
        </w:rPr>
        <w:t>"),</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underwriting a security (this refers to performing any of the acts listed in any of the items of Paragraph 6 at the time any security is issued, or any outstanding security is sold, through a public offering or any new security is privately placed),</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selling a security through a public offering,</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handling the issuance of any new security or the sale of any outstanding security through a public offering, or handling the private placement of a security,</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7"/>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buying and selling securities or transacting a business by employing any of the following methods of deciding the price of a security or any method similar thereto by any person acting as a broker, agent or proxy or acting at the same time either as the other party to a transaction effected with a large number of persons or a party to a transaction effected with another party through an organization processing information electronically;</w:t>
      </w:r>
    </w:p>
    <w:p>
      <w:pPr>
        <w:pStyle w:val="Normal"/>
        <w:ind w:hanging="709" w:start="212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09" w:start="1429"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w:t>
        <w:tab/>
        <w:t>the method of using the price of such security which has formed on the securities market established by such securities exchange with respect to securities listed on such securities exchange,</w:t>
      </w:r>
    </w:p>
    <w:p>
      <w:pPr>
        <w:pStyle w:val="Normal"/>
        <w:ind w:hanging="709" w:start="1429"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3"/>
        </w:numPr>
        <w:tabs>
          <w:tab w:val="clear" w:pos="720"/>
        </w:tabs>
        <w:ind w:hanging="735" w:start="1455"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method of using the price of such security, registered pursuant to the provisions of Paragraph 1 of Article 75, which is published by the Securities Dealers Association prescribed in Paragraph 1 of Article 67 which was granted such registration,</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3"/>
        </w:numPr>
        <w:tabs>
          <w:tab w:val="clear" w:pos="720"/>
        </w:tabs>
        <w:ind w:hanging="735" w:start="1455"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method of using the price negotiated between the customers concerned, or</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3"/>
        </w:numPr>
        <w:tabs>
          <w:tab w:val="clear" w:pos="720"/>
        </w:tabs>
        <w:ind w:hanging="735" w:start="1455"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such methods, other than those listed in Sub-items (a) through (c) hereof, as may be prescribed by a Cabinet order or by an ordinance of the Ministry of Finance.</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2(13) - "trading in securities futures"</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trading in securities futures</w:t>
      </w:r>
      <w:r>
        <w:rPr>
          <w:rFonts w:cs="Times New Roman;Times New Roman" w:ascii="Times New Roman;Times New Roman" w:hAnsi="Times New Roman;Times New Roman"/>
          <w:sz w:val="20"/>
        </w:rPr>
        <w:t>" used in this law means a transaction in which a party thereto promises the other party to take delivery of the underlying security (excluding those to be prescribed by a Cabinet order; the same shall apply hereinafter in this paragraph and in Item (1) of Paragraph 15 hereof) and pay its price on a certain fixed future date in accordance with the standards and methods prescribed by the securities exchange concerned and which can be settled by paying the other party the difference between its contract price and its market price prevailing on the date of settlement if and when the security underlying the transaction is resold or brought back before its due date.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2(14) - "trading in securities index future, etc."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trading in securities index future, etc.</w:t>
      </w:r>
      <w:r>
        <w:rPr>
          <w:rFonts w:cs="Times New Roman;Times New Roman" w:ascii="Times New Roman;Times New Roman" w:hAnsi="Times New Roman;Times New Roman"/>
          <w:sz w:val="20"/>
        </w:rPr>
        <w:t>" used in this law means a transaction in which a party thereto promises the other party to pay an amount of money computed on the basis of the difference between the numerical value agreed to in advance between the parties in accordance with the standards and methods prescribed by a securities exchange as an index of the securities concerned (hereinafter referred to as "</w:t>
      </w:r>
      <w:r>
        <w:rPr>
          <w:rFonts w:cs="Times New Roman;Times New Roman" w:ascii="Times New Roman;Times New Roman" w:hAnsi="Times New Roman;Times New Roman"/>
          <w:b/>
          <w:sz w:val="20"/>
        </w:rPr>
        <w:t>contracted index</w:t>
      </w:r>
      <w:r>
        <w:rPr>
          <w:rFonts w:cs="Times New Roman;Times New Roman" w:ascii="Times New Roman;Times New Roman" w:hAnsi="Times New Roman;Times New Roman"/>
          <w:sz w:val="20"/>
        </w:rPr>
        <w:t>") (such stock price index compositely representing the prices of multiple issues of different kinds of stocks and such other securities as may be designated by an ordinance of the Ministry of Finance and such other indexes as the securities exchange concerned may designate; the same shall apply hereinafter), or the numerical value agreed to as the price of securities (only such stocks and such other securities defined as a security by an ordinance of the Ministry of Finance as the securities exchange concerned may designate) (hereinafter referred to as "</w:t>
      </w:r>
      <w:r>
        <w:rPr>
          <w:rFonts w:cs="Times New Roman;Times New Roman" w:ascii="Times New Roman;Times New Roman" w:hAnsi="Times New Roman;Times New Roman"/>
          <w:b/>
          <w:sz w:val="20"/>
        </w:rPr>
        <w:t>contracted numerical value</w:t>
      </w:r>
      <w:r>
        <w:rPr>
          <w:rFonts w:cs="Times New Roman;Times New Roman" w:ascii="Times New Roman;Times New Roman" w:hAnsi="Times New Roman;Times New Roman"/>
          <w:sz w:val="20"/>
        </w:rPr>
        <w:t>"); and the actual numerical value of the securities index concerned (hereinafter referred to as "</w:t>
      </w:r>
      <w:r>
        <w:rPr>
          <w:rFonts w:cs="Times New Roman;Times New Roman" w:ascii="Times New Roman;Times New Roman" w:hAnsi="Times New Roman;Times New Roman"/>
          <w:b/>
          <w:sz w:val="20"/>
        </w:rPr>
        <w:t>actual index</w:t>
      </w:r>
      <w:r>
        <w:rPr>
          <w:rFonts w:cs="Times New Roman;Times New Roman" w:ascii="Times New Roman;Times New Roman" w:hAnsi="Times New Roman;Times New Roman"/>
          <w:sz w:val="20"/>
        </w:rPr>
        <w:t>") or numerical value of actual price of the securities concerned (hereinafter referred to as "</w:t>
      </w:r>
      <w:r>
        <w:rPr>
          <w:rFonts w:cs="Times New Roman;Times New Roman" w:ascii="Times New Roman;Times New Roman" w:hAnsi="Times New Roman;Times New Roman"/>
          <w:b/>
          <w:sz w:val="20"/>
        </w:rPr>
        <w:t>actual numerical value</w:t>
      </w:r>
      <w:r>
        <w:rPr>
          <w:rFonts w:cs="Times New Roman;Times New Roman" w:ascii="Times New Roman;Times New Roman" w:hAnsi="Times New Roman;Times New Roman"/>
          <w:sz w:val="20"/>
        </w:rPr>
        <w:t>") which shall prevail on a certain futures deal.</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2(15) - "securities options trading"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securities options trading</w:t>
      </w:r>
      <w:r>
        <w:rPr>
          <w:rFonts w:cs="Times New Roman;Times New Roman" w:ascii="Times New Roman;Times New Roman" w:hAnsi="Times New Roman;Times New Roman"/>
          <w:sz w:val="20"/>
        </w:rPr>
        <w:t>" used in this law means a transaction in which a party thereto, by expressing its intent, grants the other party the right to effect any of the transactions below specified between the parties thereto, and in which the other party agrees to pay a price for such transaction in accordance with the standards and methods prescribed by a securities exchange: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2"/>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Buying or selling securities, or</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2"/>
        </w:numPr>
        <w:tabs>
          <w:tab w:val="left" w:pos="720" w:leader="none"/>
        </w:tabs>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trading in securities index futures, etc. (including such transactions comparable thereto as the securities exchange concerned may designate).</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2(17) - " securities forward delivery transaction "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securities forward delivery transaction</w:t>
      </w:r>
      <w:r>
        <w:rPr>
          <w:rFonts w:cs="Times New Roman;Times New Roman" w:ascii="Times New Roman;Times New Roman" w:hAnsi="Times New Roman;Times New Roman"/>
          <w:sz w:val="20"/>
        </w:rPr>
        <w:t>" used in this law means a transaction in which one of the parties thereto promises the other party to deliver a security, without going through the medium of the securities market of an exchange and a foreign securities market, and the other party agrees to take delivery of such security, for a consideration on a certain future date, and which allows the parties thereto to settle it by paying, or by accepting, the difference when either party sells back or buys back the securities underlying such transaction.</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2(18) - " OTC securities index forward delivery transaction "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OTC securities index forward delivery transaction</w:t>
      </w:r>
      <w:r>
        <w:rPr>
          <w:rFonts w:cs="Times New Roman;Times New Roman" w:ascii="Times New Roman;Times New Roman" w:hAnsi="Times New Roman;Times New Roman"/>
          <w:sz w:val="20"/>
        </w:rPr>
        <w:t>" used in this law means a transaction effected without going through the medium of the securities market of an exchange or a foreign securities market in which the parties thereto promise one another to pay or accept an amount of money computed on the basis of the difference between the numerical value (hereinafter referred to as "</w:t>
      </w:r>
      <w:r>
        <w:rPr>
          <w:rFonts w:cs="Times New Roman;Times New Roman" w:ascii="Times New Roman;Times New Roman" w:hAnsi="Times New Roman;Times New Roman"/>
          <w:b/>
          <w:sz w:val="20"/>
        </w:rPr>
        <w:t>contracted OTC numerical index</w:t>
      </w:r>
      <w:r>
        <w:rPr>
          <w:rFonts w:cs="Times New Roman;Times New Roman" w:ascii="Times New Roman;Times New Roman" w:hAnsi="Times New Roman;Times New Roman"/>
          <w:sz w:val="20"/>
        </w:rPr>
        <w:t>") agreed to in advance as an OTC securities index (this refers to an index computed on the basis of the prices of two or more securities by a method decided through negotiations between the parties to the transaction; the same shall apply hereinafter) or the numerical value agreed to as the price of the securities (hereinafter referred to as "</w:t>
      </w:r>
      <w:r>
        <w:rPr>
          <w:rFonts w:cs="Times New Roman;Times New Roman" w:ascii="Times New Roman;Times New Roman" w:hAnsi="Times New Roman;Times New Roman"/>
          <w:b/>
          <w:sz w:val="20"/>
        </w:rPr>
        <w:t>contracted OTC value</w:t>
      </w:r>
      <w:r>
        <w:rPr>
          <w:rFonts w:cs="Times New Roman;Times New Roman" w:ascii="Times New Roman;Times New Roman" w:hAnsi="Times New Roman;Times New Roman"/>
          <w:sz w:val="20"/>
        </w:rPr>
        <w:t>") and the numerical value of such OTC securities index (hereinafter referred to as "</w:t>
      </w:r>
      <w:r>
        <w:rPr>
          <w:rFonts w:cs="Times New Roman;Times New Roman" w:ascii="Times New Roman;Times New Roman" w:hAnsi="Times New Roman;Times New Roman"/>
          <w:b/>
          <w:sz w:val="20"/>
        </w:rPr>
        <w:t>actual OTC index</w:t>
      </w:r>
      <w:r>
        <w:rPr>
          <w:rFonts w:cs="Times New Roman;Times New Roman" w:ascii="Times New Roman;Times New Roman" w:hAnsi="Times New Roman;Times New Roman"/>
          <w:sz w:val="20"/>
        </w:rPr>
        <w:t>") or the numerical value of an actual price of such security (hereinafter referred to as "</w:t>
      </w:r>
      <w:r>
        <w:rPr>
          <w:rFonts w:cs="Times New Roman;Times New Roman" w:ascii="Times New Roman;Times New Roman" w:hAnsi="Times New Roman;Times New Roman"/>
          <w:b/>
          <w:sz w:val="20"/>
        </w:rPr>
        <w:t>actual OTC numerical value</w:t>
      </w:r>
      <w:r>
        <w:rPr>
          <w:rFonts w:cs="Times New Roman;Times New Roman" w:ascii="Times New Roman;Times New Roman" w:hAnsi="Times New Roman;Times New Roman"/>
          <w:sz w:val="20"/>
        </w:rPr>
        <w:t>") that shall prevail on a certain future date, or transactions similar to such transactions.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2(19) - "OTC securities options trading "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OTC securities options trading</w:t>
      </w:r>
      <w:r>
        <w:rPr>
          <w:rFonts w:cs="Times New Roman;Times New Roman" w:ascii="Times New Roman;Times New Roman" w:hAnsi="Times New Roman;Times New Roman"/>
          <w:sz w:val="20"/>
        </w:rPr>
        <w:t>" used in this law means transactions below enumerated or transactions similar to such transactions: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(1)</w:t>
        <w:tab/>
        <w:t>Any transaction in which one of the parties thereto grants the other party the right to effect, without going through the medium of the securities market of an exchange and a foreign securities market, any of the transactions below enumerated by indicating its intent, and the other party agrees to pay the price therefor:</w:t>
      </w:r>
    </w:p>
    <w:p>
      <w:pPr>
        <w:pStyle w:val="Normal"/>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5"/>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Buying or selling securities, </w:t>
      </w:r>
    </w:p>
    <w:p>
      <w:pPr>
        <w:pStyle w:val="Normal"/>
        <w:ind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5"/>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OTC securities index forward delivery transactions, or </w:t>
      </w:r>
    </w:p>
    <w:p>
      <w:pPr>
        <w:pStyle w:val="Normal"/>
        <w:ind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15"/>
        </w:numP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OTC securities index swap transactions,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(2)</w:t>
        <w:tab/>
        <w:t>Any transaction in which one of the parties thereto grants the other party by indicating its intent the right to effect, without going through the medium of the securities market or an exchange and foreign securities market, a transaction obligating such party to pay, and such other party agrees to accept the payment of, a sum of money computed on the basis of the difference between the numerical value agreed to in advance as the OTC securities index or the price of the security and the actual OTC securities index or the numerical value of the price of such securities prevailing at the time such intent was notified to the other party.</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 xml:space="preserve">Article 2(20) - " OTC securities index etc. swap transaction" </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pPr>
      <w:r>
        <w:rPr>
          <w:rFonts w:cs="Times New Roman;Times New Roman" w:ascii="Times New Roman;Times New Roman" w:hAnsi="Times New Roman;Times New Roman"/>
          <w:sz w:val="20"/>
        </w:rPr>
        <w:t>The term "</w:t>
      </w:r>
      <w:r>
        <w:rPr>
          <w:rFonts w:cs="Times New Roman;Times New Roman" w:ascii="Times New Roman;Times New Roman" w:hAnsi="Times New Roman;Times New Roman"/>
          <w:b/>
          <w:sz w:val="20"/>
        </w:rPr>
        <w:t>OTC securities index etc. swap transaction</w:t>
      </w:r>
      <w:r>
        <w:rPr>
          <w:rFonts w:cs="Times New Roman;Times New Roman" w:ascii="Times New Roman;Times New Roman" w:hAnsi="Times New Roman;Times New Roman"/>
          <w:sz w:val="20"/>
        </w:rPr>
        <w:t>" used in this law means any transaction in which one of the parties thereto promises to pay the other party, without going through the medium of the securities market of an exchange and a foreign securities market, a sum of money computed by multiplying the amount of money agreed to by both parties as the principal by a percentage change that has occurred in the numerical value of OTC securities index or in the price of the security which the party has decided with such other party during the contracted period, and in which such other party promises to pay such party a sum of money computed by multiplying such principal by a percentage change that has occurred in the interest rate, the exchange value of the currency, the numerical value of the OTC securities index, or the price of the security during the contracted period, or transactions similar thereto.</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r>
        <w:br w:type="page"/>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Part 2: Translation of Article 28 of the SEL - Registration of Securities Companies</w:t>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spacing w:before="0" w:after="24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28.</w:t>
      </w:r>
      <w:r>
        <w:rPr>
          <w:rFonts w:cs="Times New Roman;Times New Roman" w:ascii="Times New Roman;Times New Roman" w:hAnsi="Times New Roman;Times New Roman"/>
          <w:sz w:val="20"/>
        </w:rPr>
        <w:t xml:space="preserve">  No person other than a joint stock company registered with the Prime Minister shall engage in the securities business. </w:t>
      </w:r>
    </w:p>
    <w:p>
      <w:pPr>
        <w:pStyle w:val="Normal"/>
        <w:spacing w:before="0" w:after="24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Application for Registration</w:t>
      </w:r>
    </w:p>
    <w:p>
      <w:pPr>
        <w:pStyle w:val="Normal"/>
        <w:spacing w:before="0" w:after="240"/>
        <w:rPr/>
      </w:pPr>
      <w:r>
        <w:rPr>
          <w:rFonts w:cs="Times New Roman;Times New Roman" w:ascii="Times New Roman;Times New Roman" w:hAnsi="Times New Roman;Times New Roman"/>
          <w:b/>
          <w:sz w:val="20"/>
        </w:rPr>
        <w:t>Article 28-2.</w:t>
      </w:r>
      <w:r>
        <w:rPr>
          <w:rFonts w:cs="Times New Roman;Times New Roman" w:ascii="Times New Roman;Times New Roman" w:hAnsi="Times New Roman;Times New Roman"/>
          <w:sz w:val="20"/>
        </w:rPr>
        <w:t xml:space="preserve">  A person who wishes to have the registration referred to in the preceding article made shall file with the Prime Minister an application for registration furnishing matters listed below.</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name of the company,</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the amount of its capital, </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names of its directors and auditors,</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names and locations of its principal office and other places of business,</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 xml:space="preserve">the kinds of other businesses, if any, in which the applicant is engaged, and </w:t>
      </w:r>
    </w:p>
    <w:p>
      <w:pPr>
        <w:pStyle w:val="Normal"/>
        <w:numPr>
          <w:ilvl w:val="0"/>
          <w:numId w:val="4"/>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such other matters as may be prescribed by an ordinance of the Management and Coordination Agency and the Ministry of Finance.</w:t>
      </w:r>
    </w:p>
    <w:p>
      <w:pPr>
        <w:pStyle w:val="Normal"/>
        <w:spacing w:before="0" w:after="240"/>
        <w:rPr/>
      </w:pPr>
      <w:r>
        <w:rPr>
          <w:rFonts w:cs="Times New Roman;Times New Roman" w:ascii="Times New Roman;Times New Roman" w:hAnsi="Times New Roman;Times New Roman"/>
          <w:b/>
          <w:sz w:val="20"/>
        </w:rPr>
        <w:t>2.</w:t>
      </w:r>
      <w:r>
        <w:rPr>
          <w:rFonts w:cs="Times New Roman;Times New Roman" w:ascii="Times New Roman;Times New Roman" w:hAnsi="Times New Roman;Times New Roman"/>
          <w:sz w:val="20"/>
        </w:rPr>
        <w:t xml:space="preserve">  The application for registration referred to in the preceding paragraph shall be accompanied by documents listed below.</w:t>
      </w:r>
    </w:p>
    <w:p>
      <w:pPr>
        <w:pStyle w:val="Normal"/>
        <w:numPr>
          <w:ilvl w:val="0"/>
          <w:numId w:val="13"/>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written statement pledging that the applicant does not fall within the purview of Items (1) through (7) and Item (9) of Article 28-4,</w:t>
      </w:r>
    </w:p>
    <w:p>
      <w:pPr>
        <w:pStyle w:val="Normal"/>
        <w:numPr>
          <w:ilvl w:val="0"/>
          <w:numId w:val="13"/>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document furnishing such information concerning the method of risk management, the method of dividing business administration, and the substance of, and the method of conducting, other business as may be prescribed by an ordinance of the Management and Coordination Agency and the Ministry of Finance,</w:t>
      </w:r>
    </w:p>
    <w:p>
      <w:pPr>
        <w:pStyle w:val="Normal"/>
        <w:numPr>
          <w:ilvl w:val="0"/>
          <w:numId w:val="13"/>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document furnishing information concerning the parent corporation, etc. prescribed in Paragraph 5 of Article 32, subsidiaries, etc. prescribed in Paragraph 6 of the same article, and such other affiliates as may be prescribed by an ordinance of the Management and Coordination Agency and the Ministry of Finance, and</w:t>
      </w:r>
    </w:p>
    <w:p>
      <w:pPr>
        <w:pStyle w:val="Normal"/>
        <w:numPr>
          <w:ilvl w:val="0"/>
          <w:numId w:val="13"/>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in addition to the statement and documents referred to in the preceding three items, the articles of incorporation of the applicant, a certified copy of the company register, its balance sheet and statement of income, and such other documents as may be prescribed by an ordinance of the Management and Coordination Agency and the Ministry of Finance.</w:t>
      </w:r>
    </w:p>
    <w:p>
      <w:pPr>
        <w:pStyle w:val="Normal"/>
        <w:spacing w:before="0" w:after="24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Entry in the Securities Company Register</w:t>
      </w:r>
    </w:p>
    <w:p>
      <w:pPr>
        <w:pStyle w:val="Normal"/>
        <w:spacing w:before="0" w:after="240"/>
        <w:rPr/>
      </w:pPr>
      <w:r>
        <w:rPr>
          <w:rFonts w:cs="Times New Roman;Times New Roman" w:ascii="Times New Roman;Times New Roman" w:hAnsi="Times New Roman;Times New Roman"/>
          <w:b/>
          <w:sz w:val="20"/>
        </w:rPr>
        <w:t>Article 28-3.</w:t>
      </w:r>
      <w:r>
        <w:rPr>
          <w:rFonts w:cs="Times New Roman;Times New Roman" w:ascii="Times New Roman;Times New Roman" w:hAnsi="Times New Roman;Times New Roman"/>
          <w:sz w:val="20"/>
        </w:rPr>
        <w:t xml:space="preserve">  Except in cases where the Prime Minister rejects an application for registration under the provisions of the next article, the Prime Minister shall, when the Prime Minister receives an application for registration referred to in Article 28, make an entry of the following matters in the securities company register.</w:t>
      </w:r>
    </w:p>
    <w:p>
      <w:pPr>
        <w:pStyle w:val="Normal"/>
        <w:numPr>
          <w:ilvl w:val="0"/>
          <w:numId w:val="9"/>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Matters listed in the items of Paragraph 1 of the preceding article, and</w:t>
      </w:r>
    </w:p>
    <w:p>
      <w:pPr>
        <w:pStyle w:val="Normal"/>
        <w:numPr>
          <w:ilvl w:val="0"/>
          <w:numId w:val="9"/>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date of registration and the registration number.</w:t>
      </w:r>
    </w:p>
    <w:p>
      <w:pPr>
        <w:pStyle w:val="Normal"/>
        <w:numPr>
          <w:ilvl w:val="0"/>
          <w:numId w:val="7"/>
        </w:numPr>
        <w:spacing w:before="0" w:after="24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The Prime Minister shall make the securities company register available for public inspection.</w:t>
      </w:r>
    </w:p>
    <w:p>
      <w:pPr>
        <w:pStyle w:val="Normal"/>
        <w:spacing w:before="0" w:after="24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Denial of Registration</w:t>
      </w:r>
    </w:p>
    <w:p>
      <w:pPr>
        <w:pStyle w:val="Normal"/>
        <w:spacing w:before="0" w:after="240"/>
        <w:rPr/>
      </w:pPr>
      <w:r>
        <w:rPr>
          <w:rFonts w:cs="Times New Roman;Times New Roman" w:ascii="Times New Roman;Times New Roman" w:hAnsi="Times New Roman;Times New Roman"/>
          <w:b/>
          <w:sz w:val="20"/>
        </w:rPr>
        <w:t>Article 28-4.</w:t>
      </w:r>
      <w:r>
        <w:rPr>
          <w:rFonts w:cs="Times New Roman;Times New Roman" w:ascii="Times New Roman;Times New Roman" w:hAnsi="Times New Roman;Times New Roman"/>
          <w:sz w:val="20"/>
        </w:rPr>
        <w:t xml:space="preserve">  When an applicant for registration falls within the purview of any of the following items, or when any application for registration or any document attached thereto contains any false statement or omits to state any material fact, the Prime Minister shall reject its registration.</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not a joint stock company,</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amount of capital is short of such amount as may be prescribed by a Cabinet order as an amount necessary and appropriate in the public interest or for the protection of investors,</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value of net assets (this refers to an amount arrived at by deducting the total amount of liabilities from that of its assets in accordance with a method prescribed by an ordinance of the Management and Coordination Agency and the Ministry of Finance; the same shall apply in Item (3) of Article 29-4) is short of an amount prescribed in the preceding item,</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ratio computed in accordance with a method prescribed in Paragraph 1 of Article 52 is less than 120 per centum,</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which proposes to use as its name a name which is identical to the one which is already used by another securities company, or one which is liable to be mistaken as another securities company,</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registration referred to in Article 28 was cancelled pursuant to the provisions of Paragraph 1 of Article 56 or Paragraph 3 of Article 56-2 and a period of five years from the date of such cancellation has not elapsed, or when the applicant is a joint stock company whose registration, which was granted under the laws and regulations of a foreign country corresponding to this law and is of a kind similar to the one granted under this law (including permits and other administrative actions comparable to such registration), was cancelled and a period of five years has not elapsed from the date of such cancellation,</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has violated, and has been fined for having violated (including penalties corresponding to such penalty imposed under the laws and regulations of a foreign country) any provisions of this law, the Law Concerning Foreign Securities Firms, the Law Concerning the Regulation, etc. of Investment Advisory Business Relating to Securities, the Law Concerning Securities Investment Trust and Securities Investment Corporations, the Financial Futures Trading Law (Law No. 77 of 1988), the Commodity Exchange Law (Law No. 239 of 1950), the Law Concerning the Regulation of Business Relating to Commodity Investment (Law No. 66 of 1991), the Law Concerning the Regulation of Business Relating to Specified Claims, etc. (Law No. 77 of 1992), the Law Concerning the Regulation, etc. of Money Lending Business (Law No. 32 of 1983), the Law Concerning the Regulation of Accepting Capital Contributions, Deposits, and Interest on Deposits, etc. (Law No. 195 of 1954), or the laws and regulations of a foreign country which correspond to these laws, and a period of five years has not elapsed from the date on which the execution of such penalty was completed or ceased,</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other businesses do not fall within the purview of any of the businesses prescribed in Paragraph 1 of Article 34 and any item of Paragraph 2 of the same article, and if its engagement in such businesses is deemed repugnant to the public interest, or if it is deemed liable to undermine the protection of investors because of the difficulty in managing the risk involved in such businesses,</w:t>
      </w:r>
    </w:p>
    <w:p>
      <w:pPr>
        <w:pStyle w:val="Normal"/>
        <w:numPr>
          <w:ilvl w:val="0"/>
          <w:numId w:val="10"/>
        </w:numPr>
        <w:tabs>
          <w:tab w:val="clear" w:pos="720"/>
        </w:tabs>
        <w:spacing w:before="0" w:after="240"/>
        <w:ind w:hanging="720" w:start="720"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and whose directors (including any person, regardless of whether or not such person is a counselor, an advisor, or whatever title he may have, who is considered to have a controlling power over such company equal to or stronger than that of a director; the same shall apply hereinafter in the item and in Paragraph 2 of Article 56) or auditors who fall within the purview of any of the persons set forth below:</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An incompetent or a quasi-incompetent person, or any other person who is treated as such under laws and regulations of a foreign country,</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bankrupt who has not been rehabilitated, or any person who is treated as such under the laws and regulations of a foreign country,</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person who has been imposed a penalty of imprisonment with labor (including penalties corresponding thereto imposed under the laws and regulations of a foreign country), and a period of five years has not elapsed from the date on which the execution of such penalty was completed or ceased,</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in case the registration of a securities company effected under Article 28 was cancelled pursuant to the provisions of Paragraph 3 of Article 56-2, in case the registration of any foreign securities firm effected under Paragraph 1 of Article 3 of the Law Concerning Foreign Securities Firms was cancelled pursuant to the provisions of Paragraph 3 of Article 56-2 which applies mutatis mutandis in Paragraph 1 of Article 24 or Article 25 of the same law, or in case the registration of the similar kind (including permits and other administrative actions comparable to such registration; the same shall apply hereinafter in the item) effected in such foreign country pursuant to the provisions of its laws and regulations which correspond to this law and the Law Concerning Foreign Securities Firms was cancelled, any person who was a director of such company (including the representative of such company in Japan prescribed in Paragraph 1 of Article 4 of the Law Concerning Foreign Securities Firms) during a period not exceeding 30 days prior to the date of such cancellation, and a period of five years has not elapsed from the date of such cancellation,</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director or an auditor who was relieved of his office pursuant to the provisions of Paragraph 2 of Article 56, the representative in Japan who was relieved of his office pursuant to the provisions of Paragraph 2 of Article 24 of the Law Concerning Foreign Securities Firms, an officer who was relieved of his office pursuant to the provisions of the same paragraph, or a director or an auditor (including persons who hold office similar thereto) who was relieved of his office in a foreign country pursuant to the provisions of the laws and regulations of such foreign country which correspond to this law or the Law Concerning Foreign Securities Firms, and a period of five years has not elapsed from the date of such disciplinary action, or</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 person who has violated any provisions of the law referred to in Item (7) hereof or the Law Concerning the Prevention, etc. of Wrongful Act Committed by Gangsters (Law No. 77 of 1991) (excluding the provisions of Paragraph 7 of Article 31 of the same law) or the laws and regulations of a foreign country comparable thereto, or who has committed a crime under the Criminal Code (Law No. 45 of 1907) or the Law Concerning Punishments for Acts of Violence (Law No. 60 of 1926) and was imposed a penalty of fine (including penalties comparable thereto imposed under the laws and regulations of a foreign country), and a period of five years has not elapsed from the date on which the execution of such penalty was completed or ceased, or</w:t>
      </w:r>
    </w:p>
    <w:p>
      <w:pPr>
        <w:pStyle w:val="Normal"/>
        <w:numPr>
          <w:ilvl w:val="0"/>
          <w:numId w:val="18"/>
        </w:numPr>
        <w:tabs>
          <w:tab w:val="clear" w:pos="720"/>
          <w:tab w:val="left" w:pos="1088" w:leader="none"/>
        </w:tabs>
        <w:spacing w:before="0" w:after="240"/>
        <w:ind w:hanging="368" w:start="108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when the applicant is a joint stock company whose personnel resources are not sufficient to carry out the securities business properly.</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r>
        <w:br w:type="page"/>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Part 3: Extracted Definitions from the Financial Futures Transactions Law</w:t>
      </w:r>
    </w:p>
    <w:p>
      <w:pPr>
        <w:pStyle w:val="Normal"/>
        <w:ind w:end="-90"/>
        <w:jc w:val="center"/>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ind w:end="-9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2(4) [Definition of Financial Futures Transaction]</w:t>
      </w:r>
    </w:p>
    <w:p>
      <w:pPr>
        <w:pStyle w:val="Normal"/>
        <w:ind w:end="-9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BodyText3"/>
        <w:rPr>
          <w:rFonts w:ascii="Times New Roman;Times New Roman" w:hAnsi="Times New Roman;Times New Roman" w:cs="Times New Roman;Times New Roman"/>
          <w:color w:val="auto"/>
          <w:sz w:val="20"/>
        </w:rPr>
      </w:pPr>
      <w:r>
        <w:rPr>
          <w:rFonts w:cs="Times New Roman;Times New Roman" w:ascii="Times New Roman;Times New Roman" w:hAnsi="Times New Roman;Times New Roman"/>
          <w:color w:val="auto"/>
          <w:sz w:val="20"/>
        </w:rPr>
        <w:t>The term "financial futures transaction" as used in this Law shall mean any of the following transaction which are conducted on a financial futures market in accordance with standards and procedures prescribed by a financial futures exchange:</w:t>
      </w:r>
    </w:p>
    <w:p>
      <w:pPr>
        <w:pStyle w:val="Normal"/>
        <w:ind w:end="-90"/>
        <w:rPr>
          <w:rFonts w:ascii="Times New Roman;Times New Roman" w:hAnsi="Times New Roman;Times New Roman" w:cs="Times New Roman;Times New Roman"/>
          <w:b/>
          <w:color w:val="auto"/>
          <w:sz w:val="20"/>
        </w:rPr>
      </w:pPr>
      <w:r>
        <w:rPr>
          <w:rFonts w:cs="Times New Roman;Times New Roman" w:ascii="Times New Roman;Times New Roman" w:hAnsi="Times New Roman;Times New Roman"/>
          <w:b/>
          <w:color w:val="auto"/>
          <w:sz w:val="20"/>
        </w:rPr>
      </w:r>
    </w:p>
    <w:p>
      <w:pPr>
        <w:pStyle w:val="Normal"/>
        <w:ind w:hanging="567" w:start="567" w:end="0"/>
        <w:rPr/>
      </w:pPr>
      <w:r>
        <w:rPr>
          <w:rFonts w:cs="Times New Roman;Times New Roman" w:ascii="Times New Roman;Times New Roman" w:hAnsi="Times New Roman;Times New Roman"/>
          <w:sz w:val="20"/>
        </w:rPr>
        <w:t>(i)</w:t>
        <w:tab/>
        <w:t>sale and purchase transactions in which the parties agree to give and receive currency, etc. and the price for it at a future date which can be settled by delivery or receipt of a margin (</w:t>
      </w:r>
      <w:r>
        <w:rPr>
          <w:rFonts w:cs="Times New Roman;Times New Roman" w:ascii="Times New Roman;Times New Roman" w:hAnsi="Times New Roman;Times New Roman"/>
          <w:i/>
          <w:sz w:val="20"/>
        </w:rPr>
        <w:t>sakin</w:t>
      </w:r>
      <w:r>
        <w:rPr>
          <w:rFonts w:cs="Times New Roman;Times New Roman" w:ascii="Times New Roman;Times New Roman" w:hAnsi="Times New Roman;Times New Roman"/>
          <w:sz w:val="20"/>
        </w:rPr>
        <w:t>) at the time that the currency, etc. that is the object of the purchase and sale is on-sold or bought back.</w:t>
      </w:r>
    </w:p>
    <w:p>
      <w:pPr>
        <w:pStyle w:val="Normal"/>
        <w:ind w:hanging="567" w:start="567" w:end="-9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567" w:start="56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(ii)</w:t>
        <w:tab/>
        <w:t>a transaction in which [the parties] agree to give and receive a sum of money calculated based on the difference between a figure which the parties agree in advance as the financial index and the actual financial index on a particular date in the future.</w:t>
      </w:r>
    </w:p>
    <w:p>
      <w:pPr>
        <w:pStyle w:val="Normal"/>
        <w:ind w:hanging="567" w:start="56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ind w:hanging="567" w:start="567" w:end="0"/>
        <w:rPr/>
      </w:pPr>
      <w:r>
        <w:rPr>
          <w:rFonts w:cs="Times New Roman;Times New Roman" w:ascii="Times New Roman;Times New Roman" w:hAnsi="Times New Roman;Times New Roman"/>
          <w:sz w:val="20"/>
        </w:rPr>
        <w:t>(iii)</w:t>
        <w:tab/>
        <w:t xml:space="preserve">a transaction in which a counterparty grants </w:t>
      </w:r>
      <w:r>
        <w:rPr>
          <w:rFonts w:cs="Times New Roman;Times New Roman" w:ascii="Times New Roman;Times New Roman" w:hAnsi="Times New Roman;Times New Roman"/>
          <w:sz w:val="20"/>
          <w:lang w:eastAsia="ja-JP"/>
        </w:rPr>
        <w:t xml:space="preserve">the other </w:t>
      </w:r>
      <w:r>
        <w:rPr>
          <w:rFonts w:cs="Times New Roman;Times New Roman" w:ascii="Times New Roman;Times New Roman" w:hAnsi="Times New Roman;Times New Roman"/>
          <w:sz w:val="20"/>
        </w:rPr>
        <w:t>party the right to enter into any of the following transactions between the parties by giving notice of its intention [to do so] (a “</w:t>
      </w:r>
      <w:r>
        <w:rPr>
          <w:rFonts w:cs="Times New Roman;Times New Roman" w:ascii="Times New Roman;Times New Roman" w:hAnsi="Times New Roman;Times New Roman"/>
          <w:b/>
          <w:sz w:val="20"/>
        </w:rPr>
        <w:t>financial option</w:t>
      </w:r>
      <w:r>
        <w:rPr>
          <w:rFonts w:cs="Times New Roman;Times New Roman" w:ascii="Times New Roman;Times New Roman" w:hAnsi="Times New Roman;Times New Roman"/>
          <w:sz w:val="20"/>
        </w:rPr>
        <w:t xml:space="preserve">”), and </w:t>
      </w:r>
      <w:r>
        <w:rPr>
          <w:rFonts w:cs="Times New Roman;Times New Roman" w:ascii="Times New Roman;Times New Roman" w:hAnsi="Times New Roman;Times New Roman"/>
          <w:sz w:val="20"/>
          <w:lang w:eastAsia="ja-JP"/>
        </w:rPr>
        <w:t>such other</w:t>
      </w:r>
      <w:r>
        <w:rPr>
          <w:rFonts w:cs="Times New Roman;Times New Roman" w:ascii="Times New Roman;Times New Roman" w:hAnsi="Times New Roman;Times New Roman"/>
          <w:sz w:val="20"/>
        </w:rPr>
        <w:t xml:space="preserve"> party pays the price for this:</w:t>
      </w:r>
    </w:p>
    <w:p>
      <w:pPr>
        <w:pStyle w:val="Normal"/>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ab/>
      </w:r>
    </w:p>
    <w:p>
      <w:pPr>
        <w:pStyle w:val="Normal"/>
        <w:numPr>
          <w:ilvl w:val="0"/>
          <w:numId w:val="5"/>
        </w:numPr>
        <w:tabs>
          <w:tab w:val="clear" w:pos="720"/>
          <w:tab w:val="left" w:pos="1026" w:leader="none"/>
          <w:tab w:val="left" w:pos="2268" w:leader="none"/>
        </w:tabs>
        <w:ind w:hanging="567" w:start="1134"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transactions referred to in item (i);</w:t>
      </w:r>
    </w:p>
    <w:p>
      <w:pPr>
        <w:pStyle w:val="Normal"/>
        <w:tabs>
          <w:tab w:val="clear" w:pos="720"/>
          <w:tab w:val="left" w:pos="2268" w:leader="none"/>
        </w:tabs>
        <w:ind w:hanging="567" w:start="1134"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5"/>
        </w:numPr>
        <w:tabs>
          <w:tab w:val="clear" w:pos="720"/>
          <w:tab w:val="left" w:pos="1026" w:leader="none"/>
          <w:tab w:val="left" w:pos="2268" w:leader="none"/>
        </w:tabs>
        <w:ind w:hanging="567" w:start="1134"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transactions referred to in the preceding item (including similar transactions determined by the Financial Futures Exchange);</w:t>
      </w:r>
    </w:p>
    <w:p>
      <w:pPr>
        <w:pStyle w:val="Normal"/>
        <w:tabs>
          <w:tab w:val="clear" w:pos="720"/>
          <w:tab w:val="left" w:pos="2268" w:leader="none"/>
        </w:tabs>
        <w:ind w:hanging="567" w:start="2268"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numPr>
          <w:ilvl w:val="0"/>
          <w:numId w:val="5"/>
        </w:numPr>
        <w:tabs>
          <w:tab w:val="clear" w:pos="720"/>
          <w:tab w:val="left" w:pos="1026" w:leader="none"/>
          <w:tab w:val="left" w:pos="2268" w:leader="none"/>
        </w:tabs>
        <w:ind w:hanging="567" w:start="1134"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transaction involving the purchase and sale of currency, etc. (excluding those that come under (a)).</w:t>
      </w:r>
    </w:p>
    <w:p>
      <w:pPr>
        <w:pStyle w:val="Normal"/>
        <w:ind w:end="-90"/>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t>Article 2(5) (Over-the-counter financial futures transactions)</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b/>
          <w:sz w:val="20"/>
        </w:rPr>
      </w:r>
    </w:p>
    <w:p>
      <w:pPr>
        <w:pStyle w:val="Normal"/>
        <w:rPr>
          <w:rFonts w:ascii="Times New Roman;Times New Roman" w:hAnsi="Times New Roman;Times New Roman" w:eastAsia="‚l‚r ‚oƒSƒVƒbƒN;ＭＳ ゴシック" w:cs="Times New Roman;Times New Roman"/>
          <w:sz w:val="20"/>
          <w:lang w:eastAsia="ja-JP"/>
        </w:rPr>
      </w:pPr>
      <w:r>
        <w:rPr>
          <w:rFonts w:eastAsia="‚l‚r ‚oƒSƒVƒbƒN;ＭＳ ゴシック" w:cs="Times New Roman;Times New Roman" w:ascii="Times New Roman;Times New Roman" w:hAnsi="Times New Roman;Times New Roman"/>
          <w:sz w:val="20"/>
          <w:lang w:eastAsia="ja-JP"/>
        </w:rPr>
        <w:t>In this Law, "over-the-counter financial futures transactions" refers to (a) conduct the object of which is to give or receive a "margin" and (b) transactions similar to the following transactions, both (a) and (b) being performed, outside financial futures markets, based on quotations on financial futures markets:</w:t>
      </w:r>
    </w:p>
    <w:p>
      <w:pPr>
        <w:pStyle w:val="FootnoteText"/>
        <w:tabs>
          <w:tab w:val="left" w:pos="720" w:leader="none"/>
        </w:tabs>
        <w:rPr>
          <w:rFonts w:ascii="Times New Roman;Times New Roman" w:hAnsi="Times New Roman;Times New Roman" w:eastAsia="‚l‚r ‚oƒSƒVƒbƒN;ＭＳ ゴシック" w:cs="Times New Roman;Times New Roman"/>
          <w:sz w:val="20"/>
          <w:lang w:eastAsia="ja-JP"/>
        </w:rPr>
      </w:pPr>
      <w:r>
        <w:rPr>
          <w:rFonts w:eastAsia="‚l‚r ‚oƒSƒVƒbƒN;ＭＳ ゴシック" w:cs="Times New Roman;Times New Roman" w:ascii="Times New Roman;Times New Roman" w:hAnsi="Times New Roman;Times New Roman"/>
          <w:sz w:val="20"/>
          <w:lang w:eastAsia="ja-JP"/>
        </w:rPr>
      </w:r>
    </w:p>
    <w:p>
      <w:pPr>
        <w:pStyle w:val="Normal"/>
        <w:tabs>
          <w:tab w:val="clear" w:pos="720"/>
          <w:tab w:val="left" w:pos="1701" w:leader="none"/>
        </w:tabs>
        <w:ind w:hanging="567" w:start="56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w:t>
        <w:tab/>
        <w:t>transactions referred to in item (ii) of the preceding paragraph; and</w:t>
      </w:r>
    </w:p>
    <w:p>
      <w:pPr>
        <w:pStyle w:val="Normal"/>
        <w:tabs>
          <w:tab w:val="clear" w:pos="720"/>
          <w:tab w:val="left" w:pos="1701" w:leader="none"/>
        </w:tabs>
        <w:ind w:hanging="567" w:start="56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Normal"/>
        <w:tabs>
          <w:tab w:val="clear" w:pos="720"/>
          <w:tab w:val="left" w:pos="1701" w:leader="none"/>
        </w:tabs>
        <w:ind w:hanging="567" w:start="567" w:end="0"/>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(ii)</w:t>
        <w:tab/>
        <w:t>transactions referred to in item (iii) of the preceding paragraph in relation to transactions referred to in that paragraph.</w:t>
      </w:r>
    </w:p>
    <w:p>
      <w:pPr>
        <w:pStyle w:val="Normal"/>
        <w:rPr>
          <w:rFonts w:ascii="Times New Roman;Times New Roman" w:hAnsi="Times New Roman;Times New Roman" w:cs="Times New Roman;Times New Roman"/>
          <w:b/>
          <w:sz w:val="20"/>
        </w:rPr>
      </w:pPr>
      <w:r>
        <w:rPr>
          <w:rFonts w:cs="Times New Roman;Times New Roman" w:ascii="Times New Roman;Times New Roman" w:hAnsi="Times New Roman;Times New Roman"/>
          <w:sz w:val="20"/>
        </w:rPr>
        <w:tab/>
      </w:r>
    </w:p>
    <w:p>
      <w:pPr>
        <w:pStyle w:val="Heading2"/>
        <w:ind w:hanging="0" w:start="0"/>
        <w:rPr/>
      </w:pPr>
      <w:r>
        <w:rPr>
          <w:rFonts w:cs="Times New Roman;Times New Roman" w:ascii="Times New Roman;Times New Roman" w:hAnsi="Times New Roman;Times New Roman"/>
          <w:sz w:val="20"/>
        </w:rPr>
        <w:t>Article 6</w:t>
      </w:r>
      <w:r>
        <w:rPr>
          <w:rFonts w:cs="Times New Roman;Times New Roman" w:ascii="Times New Roman;Times New Roman" w:hAnsi="Times New Roman;Times New Roman"/>
          <w:sz w:val="20"/>
          <w:lang w:eastAsia="en-US"/>
        </w:rPr>
        <w:t xml:space="preserve"> (Prohibition Against Opening a Market Similar to a Financial Futures Markets)</w:t>
      </w:r>
    </w:p>
    <w:p>
      <w:pPr>
        <w:pStyle w:val="Normal"/>
        <w:tabs>
          <w:tab w:val="left" w:pos="720" w:leader="none"/>
        </w:tabs>
        <w:rPr>
          <w:rFonts w:ascii="Times New Roman;Times New Roman" w:hAnsi="Times New Roman;Times New Roman" w:cs="Times New Roman;Times New Roman"/>
          <w:sz w:val="20"/>
          <w:lang w:eastAsia="en-US"/>
        </w:rPr>
      </w:pPr>
      <w:r>
        <w:rPr>
          <w:rFonts w:cs="Times New Roman;Times New Roman" w:ascii="Times New Roman;Times New Roman" w:hAnsi="Times New Roman;Times New Roman"/>
          <w:sz w:val="20"/>
          <w:lang w:eastAsia="en-US"/>
        </w:rPr>
      </w:r>
    </w:p>
    <w:p>
      <w:pPr>
        <w:pStyle w:val="Normal"/>
        <w:ind w:hanging="720" w:start="720" w:end="0"/>
        <w:rPr>
          <w:rFonts w:ascii="Times New Roman;Times New Roman" w:hAnsi="Times New Roman;Times New Roman" w:eastAsia="‚l‚r ‚oƒSƒVƒbƒN;ＭＳ ゴシック" w:cs="Times New Roman;Times New Roman"/>
          <w:sz w:val="20"/>
          <w:lang w:eastAsia="ja-JP"/>
        </w:rPr>
      </w:pPr>
      <w:r>
        <w:rPr>
          <w:rFonts w:eastAsia="‚l‚r ‚oƒSƒVƒbƒN;ＭＳ ゴシック" w:cs="Times New Roman;Times New Roman" w:ascii="Times New Roman;Times New Roman" w:hAnsi="Times New Roman;Times New Roman"/>
          <w:sz w:val="20"/>
          <w:lang w:eastAsia="ja-JP"/>
        </w:rPr>
        <w:t xml:space="preserve">1. </w:t>
        <w:tab/>
        <w:t>No person shall open a market similar to financial futures markets.</w:t>
      </w:r>
    </w:p>
    <w:p>
      <w:pPr>
        <w:pStyle w:val="Normal"/>
        <w:ind w:hanging="720" w:start="720" w:end="0"/>
        <w:rPr>
          <w:rFonts w:ascii="Times New Roman;Times New Roman" w:hAnsi="Times New Roman;Times New Roman" w:eastAsia="‚l‚r ‚oƒSƒVƒbƒN;ＭＳ ゴシック" w:cs="Times New Roman;Times New Roman"/>
          <w:sz w:val="20"/>
          <w:lang w:eastAsia="ja-JP"/>
        </w:rPr>
      </w:pPr>
      <w:r>
        <w:rPr>
          <w:rFonts w:eastAsia="‚l‚r ‚oƒSƒVƒbƒN;ＭＳ ゴシック" w:cs="Times New Roman;Times New Roman" w:ascii="Times New Roman;Times New Roman" w:hAnsi="Times New Roman;Times New Roman"/>
          <w:sz w:val="20"/>
          <w:lang w:eastAsia="ja-JP"/>
        </w:rPr>
      </w:r>
    </w:p>
    <w:p>
      <w:pPr>
        <w:pStyle w:val="Normal"/>
        <w:ind w:hanging="720" w:start="720" w:end="0"/>
        <w:rPr>
          <w:rFonts w:ascii="Times New Roman;Times New Roman" w:hAnsi="Times New Roman;Times New Roman" w:eastAsia="‚l‚r ‚oƒSƒVƒbƒN;ＭＳ ゴシック" w:cs="Times New Roman;Times New Roman"/>
          <w:sz w:val="20"/>
          <w:lang w:eastAsia="ja-JP"/>
        </w:rPr>
      </w:pPr>
      <w:r>
        <w:rPr>
          <w:rFonts w:eastAsia="‚l‚r ‚oƒSƒVƒbƒN;ＭＳ ゴシック" w:cs="Times New Roman;Times New Roman" w:ascii="Times New Roman;Times New Roman" w:hAnsi="Times New Roman;Times New Roman"/>
          <w:sz w:val="20"/>
          <w:lang w:eastAsia="ja-JP"/>
        </w:rPr>
        <w:t xml:space="preserve">2. </w:t>
        <w:tab/>
        <w:t>No person shall engage in transactions similar to financial futures transactions on a market referred to in the preceding paragraph.</w:t>
      </w:r>
    </w:p>
    <w:p>
      <w:pPr>
        <w:pStyle w:val="Normal"/>
        <w:rPr>
          <w:rFonts w:ascii="Times New Roman;Times New Roman" w:hAnsi="Times New Roman;Times New Roman" w:eastAsia="‚l‚r ‚oƒSƒVƒbƒN;ＭＳ ゴシック" w:cs="Times New Roman;Times New Roman"/>
          <w:sz w:val="20"/>
          <w:lang w:eastAsia="en-US"/>
        </w:rPr>
      </w:pPr>
      <w:r>
        <w:rPr>
          <w:rFonts w:eastAsia="‚l‚r ‚oƒSƒVƒbƒN;ＭＳ ゴシック" w:cs="Times New Roman;Times New Roman" w:ascii="Times New Roman;Times New Roman" w:hAnsi="Times New Roman;Times New Roman"/>
          <w:sz w:val="20"/>
          <w:lang w:eastAsia="en-US"/>
        </w:rPr>
      </w:r>
    </w:p>
    <w:p>
      <w:pPr>
        <w:pStyle w:val="Normal"/>
        <w:rPr/>
      </w:pPr>
      <w:r>
        <w:rPr>
          <w:rFonts w:cs="Times New Roman;Times New Roman" w:ascii="Times New Roman;Times New Roman" w:hAnsi="Times New Roman;Times New Roman"/>
          <w:b/>
          <w:sz w:val="20"/>
          <w:lang w:eastAsia="en-US"/>
        </w:rPr>
        <w:t>Article 7.  (</w:t>
      </w:r>
      <w:r>
        <w:rPr>
          <w:rFonts w:eastAsia="‚l‚r ‚oƒSƒVƒbƒN;ＭＳ ゴシック" w:cs="Times New Roman;Times New Roman" w:ascii="Times New Roman;Times New Roman" w:hAnsi="Times New Roman;Times New Roman"/>
          <w:b/>
          <w:sz w:val="20"/>
          <w:lang w:eastAsia="ja-JP"/>
        </w:rPr>
        <w:t>Prohibition Against Over-The-Counter Financial Futures Transactions</w:t>
      </w:r>
      <w:r>
        <w:rPr>
          <w:rFonts w:cs="Times New Roman;Times New Roman" w:ascii="Times New Roman;Times New Roman" w:hAnsi="Times New Roman;Times New Roman"/>
          <w:b/>
          <w:sz w:val="20"/>
          <w:lang w:eastAsia="en-US"/>
        </w:rPr>
        <w:t>)</w:t>
      </w:r>
    </w:p>
    <w:p>
      <w:pPr>
        <w:pStyle w:val="Normal"/>
        <w:rPr>
          <w:rFonts w:ascii="Times New Roman;Times New Roman" w:hAnsi="Times New Roman;Times New Roman" w:cs="Times New Roman;Times New Roman"/>
          <w:b/>
          <w:sz w:val="20"/>
          <w:lang w:eastAsia="en-US"/>
        </w:rPr>
      </w:pPr>
      <w:r>
        <w:rPr>
          <w:rFonts w:cs="Times New Roman;Times New Roman" w:ascii="Times New Roman;Times New Roman" w:hAnsi="Times New Roman;Times New Roman"/>
          <w:b/>
          <w:sz w:val="20"/>
          <w:lang w:eastAsia="en-US"/>
        </w:rPr>
      </w:r>
    </w:p>
    <w:p>
      <w:pPr>
        <w:pStyle w:val="Normal"/>
        <w:rPr/>
      </w:pPr>
      <w:r>
        <w:rPr>
          <w:sz w:val="20"/>
          <w:lang w:eastAsia="ja-JP"/>
        </w:rPr>
        <w:t>No person shall, except for where the other party is a bank, securities company specified under Article 2(9) of the SEL or other person specified in Cabinet Ordinance (limited to member of Financial Futures Exchange), engage in Over-The-Counter Financial Futures Transactions.</w:t>
      </w:r>
      <w:r>
        <w:rPr>
          <w:sz w:val="20"/>
        </w:rPr>
        <w:t xml:space="preserve"> </w:t>
      </w:r>
    </w:p>
    <w:p>
      <w:pPr>
        <w:pStyle w:val="FootnoteText"/>
        <w:jc w:val="start"/>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06"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Arial">
    <w:altName w:val="helvetica"/>
    <w:charset w:val="00" w:characterSet="windows-1252"/>
    <w:family w:val="swiss"/>
    <w:pitch w:val="variable"/>
  </w:font>
  <w:font w:name="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00" w:leader="none"/>
        <w:tab w:val="right" w:pos="9090" w:leader="none"/>
      </w:tabs>
      <w:rPr>
        <w:rStyle w:val="PageNumber"/>
        <w:sz w:val="18"/>
      </w:rPr>
    </w:pPr>
    <w:r>
      <w:rPr>
        <w:rFonts w:cs="Times New Roman;Times New Roman" w:ascii="Times New Roman;Times New Roman" w:hAnsi="Times New Roman;Times New Roman"/>
        <w:sz w:val="12"/>
        <w:lang w:eastAsia="en-US"/>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16</w:t>
    </w:r>
    <w:r>
      <w:rPr>
        <w:rStyle w:val="PageNumber"/>
        <w:sz w:val="18"/>
      </w:rPr>
      <w:fldChar w:fldCharType="end"/>
    </w:r>
  </w:p>
  <w:p>
    <w:pPr>
      <w:pStyle w:val="Footer"/>
      <w:tabs>
        <w:tab w:val="clear" w:pos="4320"/>
        <w:tab w:val="clear" w:pos="8640"/>
        <w:tab w:val="center" w:pos="4500" w:leader="none"/>
        <w:tab w:val="right" w:pos="9090" w:leader="none"/>
      </w:tabs>
      <w:jc w:val="start"/>
      <w:rPr/>
    </w:pPr>
    <w:r>
      <w:rPr>
        <w:rStyle w:val="PageNumber"/>
        <w:rFonts w:cs="Times New Roman;Times New Roman" w:ascii="Times New Roman;Times New Roman" w:hAnsi="Times New Roman;Times New Roman"/>
        <w:sz w:val="18"/>
        <w:lang w:eastAsia="en-US"/>
      </w:rPr>
      <w:fldChar w:fldCharType="begin"/>
    </w:r>
    <w:r>
      <w:rPr>
        <w:rStyle w:val="PageNumber"/>
        <w:sz w:val="18"/>
        <w:rFonts w:cs="Times New Roman;Times New Roman" w:ascii="Times New Roman;Times New Roman" w:hAnsi="Times New Roman;Times New Roman"/>
        <w:lang w:eastAsia="en-US"/>
      </w:rPr>
      <w:instrText xml:space="preserve"> FILENAME \p </w:instrText>
    </w:r>
    <w:r>
      <w:rPr>
        <w:rStyle w:val="PageNumber"/>
        <w:sz w:val="18"/>
        <w:rFonts w:cs="Times New Roman;Times New Roman" w:ascii="Times New Roman;Times New Roman" w:hAnsi="Times New Roman;Times New Roman"/>
        <w:lang w:eastAsia="en-US"/>
      </w:rPr>
      <w:fldChar w:fldCharType="separate"/>
    </w:r>
    <w:r>
      <w:rPr>
        <w:rStyle w:val="PageNumber"/>
        <w:sz w:val="18"/>
        <w:rFonts w:cs="Times New Roman;Times New Roman" w:ascii="Times New Roman;Times New Roman" w:hAnsi="Times New Roman;Times New Roman"/>
        <w:lang w:eastAsia="en-US"/>
      </w:rPr>
      <w:t>/mnt/main-storage/datasets/enron-docs/doc/Memo_E_6.14.00_1.doc</w:t>
    </w:r>
    <w:r>
      <w:rPr>
        <w:rStyle w:val="PageNumber"/>
        <w:sz w:val="18"/>
        <w:rFonts w:cs="Times New Roman;Times New Roman" w:ascii="Times New Roman;Times New Roman" w:hAnsi="Times New Roman;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center"/>
        <w:rPr>
          <w:sz w:val="4"/>
        </w:rPr>
      </w:pPr>
      <w:r>
        <w:rPr>
          <w:rStyle w:val="FootnoteCharacters"/>
        </w:rPr>
        <w:t>*</w:t>
      </w:r>
      <w:r>
        <w:rPr>
          <w:sz w:val="4"/>
        </w:rPr>
      </w:r>
    </w:p>
    <w:p>
      <w:pPr>
        <w:pStyle w:val="FootnoteText"/>
        <w:jc w:val="center"/>
        <w:rPr/>
      </w:pPr>
      <w:r>
        <w:rPr>
          <w:rStyle w:val="FootnoteCharacters"/>
        </w:rPr>
        <w:t>*</w:t>
      </w:r>
      <w:r>
        <w:rPr>
          <w:sz w:val="16"/>
        </w:rPr>
        <w:t xml:space="preserve"> Attorney at Foreign Law: Jurisdiction of Primary Qualification – the State of New South Wales</w:t>
      </w:r>
    </w:p>
    <w:p>
      <w:pPr>
        <w:pStyle w:val="FootnoteText"/>
        <w:jc w:val="center"/>
        <w:rPr>
          <w:sz w:val="16"/>
        </w:rPr>
      </w:pPr>
      <w:r>
        <w:rPr>
          <w:sz w:val="16"/>
        </w:rPr>
        <w:t>Designated Jurisdictions – England, Wales and the State of Victoria</w:t>
      </w:r>
    </w:p>
  </w:footnote>
  <w:footnote w:id="3">
    <w:p>
      <w:pPr>
        <w:pStyle w:val="FootnoteText"/>
        <w:rPr/>
      </w:pPr>
      <w:r>
        <w:rPr>
          <w:rStyle w:val="FootnoteCharacters"/>
        </w:rPr>
        <w:footnoteRef/>
      </w:r>
      <w:r>
        <w:rPr/>
        <w:t xml:space="preserve"> </w:t>
      </w:r>
      <w:r>
        <w:rPr/>
        <w:t>Defined in paragraph 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90" w:leader="none"/>
      </w:tabs>
      <w:rPr>
        <w:rFonts w:ascii="Times New Roman;Times New Roman" w:hAnsi="Times New Roman;Times New Roman" w:cs="Times New Roman;Times New Roman"/>
        <w:smallCaps/>
      </w:rPr>
    </w:pPr>
    <w:r>
      <w:rPr>
        <w:rFonts w:cs="Times New Roman;Times New Roman" w:ascii="Times New Roman;Times New Roman" w:hAnsi="Times New Roman;Times New Roman"/>
        <w:b/>
        <w:smallCaps/>
      </w:rPr>
      <w:t>Tokyo Aoyama Law Office</w:t>
    </w:r>
    <w:r>
      <w:rPr>
        <w:rFonts w:cs="Times New Roman;Times New Roman" w:ascii="Times New Roman;Times New Roman" w:hAnsi="Times New Roman;Times New Roman"/>
        <w:smallCaps/>
      </w:rPr>
      <w:tab/>
    </w:r>
    <w:r>
      <w:rPr>
        <w:rFonts w:cs="Times New Roman;Times New Roman" w:ascii="Times New Roman;Times New Roman" w:hAnsi="Times New Roman;Times New Roman"/>
        <w:b/>
        <w:smallCaps/>
      </w:rPr>
      <w:t xml:space="preserve">Baker &amp; McKenzie </w:t>
    </w:r>
  </w:p>
  <w:p>
    <w:pPr>
      <w:pStyle w:val="Header"/>
      <w:rPr>
        <w:rFonts w:ascii="Times New Roman;Times New Roman" w:hAnsi="Times New Roman;Times New Roman" w:cs="Times New Roman;Times New Roman"/>
        <w:smallCaps/>
        <w:sz w:val="20"/>
      </w:rPr>
    </w:pPr>
    <w:r>
      <w:rPr>
        <w:rFonts w:cs="Times New Roman;Times New Roman" w:ascii="Times New Roman;Times New Roman" w:hAnsi="Times New Roman;Times New Roman"/>
        <w:smallCaps/>
        <w:sz w:val="20"/>
      </w:rPr>
    </w:r>
  </w:p>
  <w:p>
    <w:pPr>
      <w:pStyle w:val="Heade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Header"/>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er"/>
      <w:rPr>
        <w:rFonts w:ascii="Times New Roman;Times New Roman" w:hAnsi="Times New Roman;Times New Roman" w:cs="Times New Roman;Times New Roman"/>
      </w:rPr>
    </w:pPr>
    <w:r>
      <w:rPr>
        <w:rFonts w:cs="Times New Roman;Times New Roman" w:ascii="Times New Roman;Times New Roman" w:hAnsi="Times New Roman;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4"/>
        </w:tabs>
        <w:ind w:start="1444" w:hanging="735"/>
      </w:pPr>
      <w:rPr/>
    </w:lvl>
  </w:abstractNum>
  <w:abstractNum w:abstractNumId="3">
    <w:lvl w:ilvl="0">
      <w:start w:val="1"/>
      <w:numFmt w:val="lowerLetter"/>
      <w:lvlText w:val="(%1)"/>
      <w:lvlJc w:val="start"/>
      <w:pPr>
        <w:tabs>
          <w:tab w:val="num" w:pos="2153"/>
        </w:tabs>
        <w:ind w:start="2153" w:hanging="735"/>
      </w:pPr>
      <w:rPr/>
    </w:lvl>
  </w:abstractNum>
  <w:abstractNum w:abstractNumId="4">
    <w:lvl w:ilvl="0">
      <w:start w:val="1"/>
      <w:numFmt w:val="decimal"/>
      <w:lvlText w:val="(%1)"/>
      <w:lvlJc w:val="start"/>
      <w:pPr>
        <w:tabs>
          <w:tab w:val="num" w:pos="390"/>
        </w:tabs>
        <w:ind w:start="390" w:hanging="39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2"/>
      <w:numFmt w:val="decimal"/>
      <w:lvlText w:val="%1."/>
      <w:lvlJc w:val="start"/>
      <w:pPr>
        <w:tabs>
          <w:tab w:val="num" w:pos="360"/>
        </w:tabs>
        <w:ind w:start="360" w:hanging="360"/>
      </w:pPr>
      <w:rPr>
        <w:b/>
      </w:rPr>
    </w:lvl>
  </w:abstractNum>
  <w:abstractNum w:abstractNumId="8">
    <w:lvl w:ilvl="0">
      <w:start w:val="1"/>
      <w:numFmt w:val="decimal"/>
      <w:lvlText w:val="(%1)"/>
      <w:lvlJc w:val="start"/>
      <w:pPr>
        <w:tabs>
          <w:tab w:val="num" w:pos="1440"/>
        </w:tabs>
        <w:ind w:start="1440" w:hanging="720"/>
      </w:pPr>
      <w:rPr/>
    </w:lvl>
  </w:abstractNum>
  <w:abstractNum w:abstractNumId="9">
    <w:lvl w:ilvl="0">
      <w:start w:val="1"/>
      <w:numFmt w:val="decimal"/>
      <w:lvlText w:val="(%1)"/>
      <w:lvlJc w:val="start"/>
      <w:pPr>
        <w:tabs>
          <w:tab w:val="num" w:pos="390"/>
        </w:tabs>
        <w:ind w:start="390" w:hanging="390"/>
      </w:pPr>
      <w:rPr/>
    </w:lvl>
  </w:abstractNum>
  <w:abstractNum w:abstractNumId="10">
    <w:lvl w:ilvl="0">
      <w:start w:val="1"/>
      <w:numFmt w:val="decimal"/>
      <w:lvlText w:val="(%1)"/>
      <w:lvlJc w:val="start"/>
      <w:pPr>
        <w:tabs>
          <w:tab w:val="num" w:pos="390"/>
        </w:tabs>
        <w:ind w:start="390" w:hanging="390"/>
      </w:pPr>
      <w:rPr/>
    </w:lvl>
  </w:abstractNum>
  <w:abstractNum w:abstractNumId="11">
    <w:lvl w:ilvl="0">
      <w:start w:val="1"/>
      <w:numFmt w:val="lowerLetter"/>
      <w:lvlText w:val="(%1)"/>
      <w:lvlJc w:val="start"/>
      <w:pPr>
        <w:tabs>
          <w:tab w:val="num" w:pos="1444"/>
        </w:tabs>
        <w:ind w:start="1444" w:hanging="735"/>
      </w:pPr>
      <w:rPr/>
    </w:lvl>
  </w:abstractNum>
  <w:abstractNum w:abstractNumId="12">
    <w:lvl w:ilvl="0">
      <w:start w:val="1"/>
      <w:numFmt w:val="decimal"/>
      <w:lvlText w:val="(%1)"/>
      <w:lvlJc w:val="start"/>
      <w:pPr>
        <w:tabs>
          <w:tab w:val="num" w:pos="1440"/>
        </w:tabs>
        <w:ind w:start="1440" w:hanging="720"/>
      </w:pPr>
      <w:rPr/>
    </w:lvl>
  </w:abstractNum>
  <w:abstractNum w:abstractNumId="13">
    <w:lvl w:ilvl="0">
      <w:start w:val="1"/>
      <w:numFmt w:val="decimal"/>
      <w:lvlText w:val="(%1)"/>
      <w:lvlJc w:val="start"/>
      <w:pPr>
        <w:tabs>
          <w:tab w:val="num" w:pos="390"/>
        </w:tabs>
        <w:ind w:start="390" w:hanging="39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1440"/>
        </w:tabs>
        <w:ind w:start="1440" w:hanging="72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1429"/>
        </w:tabs>
        <w:ind w:start="1429" w:hanging="720"/>
      </w:pPr>
      <w:rPr/>
    </w:lvl>
  </w:abstractNum>
  <w:abstractNum w:abstractNumId="18">
    <w:lvl w:ilvl="0">
      <w:start w:val="1"/>
      <w:numFmt w:val="lowerLetter"/>
      <w:lvlText w:val="(%1)"/>
      <w:lvlJc w:val="start"/>
      <w:pPr>
        <w:tabs>
          <w:tab w:val="num" w:pos="794"/>
        </w:tabs>
        <w:ind w:start="794" w:hanging="79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CG Times (W1)" w:hAnsi="CG Times (W1)" w:eastAsia="ＭＳ 明朝;MS Gothic" w:cs="CG Times (W1)"/>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helvetica" w:hAnsi="Arial;helvetica" w:cs="Arial;helvetica"/>
      <w:b/>
      <w:u w:val="single"/>
    </w:rPr>
  </w:style>
  <w:style w:type="paragraph" w:styleId="Heading2">
    <w:name w:val="heading 2"/>
    <w:basedOn w:val="Normal"/>
    <w:next w:val="Normal"/>
    <w:qFormat/>
    <w:pPr>
      <w:numPr>
        <w:ilvl w:val="1"/>
        <w:numId w:val="1"/>
      </w:numPr>
      <w:spacing w:before="120" w:after="0"/>
      <w:outlineLvl w:val="1"/>
    </w:pPr>
    <w:rPr>
      <w:rFonts w:ascii="Arial;helvetica" w:hAnsi="Arial;helvetica" w:cs="Arial;helvetica"/>
      <w:b/>
    </w:rPr>
  </w:style>
  <w:style w:type="paragraph" w:styleId="Heading3">
    <w:name w:val="heading 3"/>
    <w:basedOn w:val="Normal"/>
    <w:next w:val="NormalIndent"/>
    <w:qFormat/>
    <w:pPr>
      <w:numPr>
        <w:ilvl w:val="2"/>
        <w:numId w:val="1"/>
      </w:numPr>
      <w:ind w:hanging="0" w:start="360" w:end="0"/>
      <w:outlineLvl w:val="2"/>
    </w:pPr>
    <w:rPr>
      <w:rFonts w:ascii="Times New Roman;Times New Roman" w:hAnsi="Times New Roman;Times New Roman" w:cs="Times New Roman;Times New Roman"/>
      <w:b/>
    </w:rPr>
  </w:style>
  <w:style w:type="paragraph" w:styleId="Heading4">
    <w:name w:val="heading 4"/>
    <w:basedOn w:val="Normal"/>
    <w:next w:val="NormalIndent"/>
    <w:qFormat/>
    <w:pPr>
      <w:numPr>
        <w:ilvl w:val="3"/>
        <w:numId w:val="1"/>
      </w:numPr>
      <w:ind w:hanging="0" w:start="360" w:end="0"/>
      <w:outlineLvl w:val="3"/>
    </w:pPr>
    <w:rPr>
      <w:rFonts w:ascii="Times New Roman;Times New Roman" w:hAnsi="Times New Roman;Times New Roman" w:cs="Times New Roman;Times New Roman"/>
      <w:u w:val="single"/>
    </w:rPr>
  </w:style>
  <w:style w:type="paragraph" w:styleId="Heading5">
    <w:name w:val="heading 5"/>
    <w:basedOn w:val="Normal"/>
    <w:next w:val="NormalIndent"/>
    <w:qFormat/>
    <w:pPr>
      <w:numPr>
        <w:ilvl w:val="4"/>
        <w:numId w:val="1"/>
      </w:numPr>
      <w:ind w:hanging="0" w:start="720" w:end="0"/>
      <w:outlineLvl w:val="4"/>
    </w:pPr>
    <w:rPr>
      <w:rFonts w:ascii="Times New Roman;Times New Roman" w:hAnsi="Times New Roman;Times New Roman" w:cs="Times New Roman;Times New Roman"/>
      <w:b/>
      <w:sz w:val="20"/>
    </w:rPr>
  </w:style>
  <w:style w:type="paragraph" w:styleId="Heading6">
    <w:name w:val="heading 6"/>
    <w:basedOn w:val="Normal"/>
    <w:next w:val="NormalIndent"/>
    <w:qFormat/>
    <w:pPr>
      <w:numPr>
        <w:ilvl w:val="5"/>
        <w:numId w:val="1"/>
      </w:numPr>
      <w:ind w:hanging="0" w:start="720" w:end="0"/>
      <w:outlineLvl w:val="5"/>
    </w:pPr>
    <w:rPr>
      <w:rFonts w:ascii="Times New Roman;Times New Roman" w:hAnsi="Times New Roman;Times New Roman" w:cs="Times New Roman;Times New Roman"/>
      <w:sz w:val="20"/>
      <w:u w:val="single"/>
    </w:rPr>
  </w:style>
  <w:style w:type="paragraph" w:styleId="Heading7">
    <w:name w:val="heading 7"/>
    <w:basedOn w:val="Normal"/>
    <w:next w:val="NormalIndent"/>
    <w:qFormat/>
    <w:pPr>
      <w:numPr>
        <w:ilvl w:val="6"/>
        <w:numId w:val="1"/>
      </w:numPr>
      <w:ind w:hanging="0" w:start="720" w:end="0"/>
      <w:outlineLvl w:val="6"/>
    </w:pPr>
    <w:rPr>
      <w:rFonts w:ascii="Times New Roman;Times New Roman" w:hAnsi="Times New Roman;Times New Roman" w:cs="Times New Roman;Times New Roman"/>
      <w:i/>
      <w:sz w:val="20"/>
    </w:rPr>
  </w:style>
  <w:style w:type="paragraph" w:styleId="Heading8">
    <w:name w:val="heading 8"/>
    <w:basedOn w:val="Normal"/>
    <w:next w:val="NormalIndent"/>
    <w:qFormat/>
    <w:pPr>
      <w:numPr>
        <w:ilvl w:val="7"/>
        <w:numId w:val="1"/>
      </w:numPr>
      <w:ind w:hanging="0" w:start="720" w:end="0"/>
      <w:outlineLvl w:val="7"/>
    </w:pPr>
    <w:rPr>
      <w:rFonts w:ascii="Times New Roman;Times New Roman" w:hAnsi="Times New Roman;Times New Roman" w:cs="Times New Roman;Times New Roman"/>
      <w:i/>
      <w:sz w:val="20"/>
    </w:rPr>
  </w:style>
  <w:style w:type="paragraph" w:styleId="Heading9">
    <w:name w:val="heading 9"/>
    <w:basedOn w:val="Normal"/>
    <w:next w:val="NormalIndent"/>
    <w:qFormat/>
    <w:pPr>
      <w:numPr>
        <w:ilvl w:val="8"/>
        <w:numId w:val="1"/>
      </w:numPr>
      <w:ind w:hanging="0" w:start="720" w:end="0"/>
      <w:outlineLvl w:val="8"/>
    </w:pPr>
    <w:rPr>
      <w:rFonts w:ascii="Times New Roman;Times New Roman" w:hAnsi="Times New Roman;Times New Roman" w:cs="Times New Roman;Times New Roman"/>
      <w:i/>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Times New Roman" w:hAnsi="Times New Roman;Times New Roman" w:cs="Times New Roman;Times New Roman"/>
      <w:caps w:val="false"/>
      <w:smallCaps w:val="false"/>
      <w:strike w:val="false"/>
      <w:dstrike w:val="false"/>
      <w:shadow w:val="false"/>
      <w:vanish w:val="false"/>
      <w:color w:val="auto"/>
      <w:position w:val="0"/>
      <w:sz w:val="24"/>
      <w:vertAlign w:val="baseline"/>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u w:val="singl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20"/>
    </w:rPr>
  </w:style>
  <w:style w:type="character" w:styleId="WW8Num53z0">
    <w:name w:val="WW8Num53z0"/>
    <w:qFormat/>
    <w:rPr>
      <w:b/>
    </w:rPr>
  </w:style>
  <w:style w:type="character" w:styleId="WW8Num54z0">
    <w:name w:val="WW8Num54z0"/>
    <w:qFormat/>
    <w:rPr>
      <w:u w:val="single"/>
    </w:rPr>
  </w:style>
  <w:style w:type="character" w:styleId="WW8Num55z0">
    <w:name w:val="WW8Num55z0"/>
    <w:qFormat/>
    <w:rPr/>
  </w:style>
  <w:style w:type="character" w:styleId="WW8Num56z0">
    <w:name w:val="WW8Num56z0"/>
    <w:qFormat/>
    <w:rPr/>
  </w:style>
  <w:style w:type="character" w:styleId="WW8Num58z0">
    <w:name w:val="WW8Num58z0"/>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8z0">
    <w:name w:val="WW8Num78z0"/>
    <w:qFormat/>
    <w:rPr/>
  </w:style>
  <w:style w:type="character" w:styleId="WW8Num79z0">
    <w:name w:val="WW8Num79z0"/>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b w:val="false"/>
    </w:rPr>
  </w:style>
  <w:style w:type="character" w:styleId="WW8Num90z0">
    <w:name w:val="WW8Num90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Symbol" w:hAnsi="Symbol" w:cs="Symbol"/>
      <w:color w:val="auto"/>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rFonts w:ascii="Symbol" w:hAnsi="Symbol" w:cs="Symbol"/>
      <w:sz w:val="20"/>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rFonts w:ascii="CG Times (W1)" w:hAnsi="CG Times (W1)" w:cs="CG Times (W1)"/>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1z0">
    <w:name w:val="WW8Num121z0"/>
    <w:qFormat/>
    <w:rPr/>
  </w:style>
  <w:style w:type="character" w:styleId="WW8Num122z0">
    <w:name w:val="WW8Num122z0"/>
    <w:qFormat/>
    <w:rPr>
      <w:rFonts w:ascii="Wingdings" w:hAnsi="Wingdings" w:cs="Wingdings"/>
    </w:rPr>
  </w:style>
  <w:style w:type="character" w:styleId="WW8Num127z0">
    <w:name w:val="WW8Num127z0"/>
    <w:qFormat/>
    <w:rPr>
      <w:u w:val="single"/>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rFonts w:ascii="Symbol" w:hAnsi="Symbol" w:cs="Symbol"/>
      <w:sz w:val="20"/>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Wingdings" w:hAnsi="Wingdings" w:cs="Wingdings"/>
    </w:rPr>
  </w:style>
  <w:style w:type="character" w:styleId="WW8Num143z0">
    <w:name w:val="WW8Num143z0"/>
    <w:qFormat/>
    <w:rPr/>
  </w:style>
  <w:style w:type="character" w:styleId="WW8Num144z0">
    <w:name w:val="WW8Num144z0"/>
    <w:qFormat/>
    <w:rPr/>
  </w:style>
  <w:style w:type="character" w:styleId="WW8Num145z0">
    <w:name w:val="WW8Num145z0"/>
    <w:qFormat/>
    <w:rPr>
      <w:rFonts w:ascii="Symbol" w:hAnsi="Symbol" w:cs="Symbol"/>
      <w:color w:val="auto"/>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sz w:val="20"/>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5z0">
    <w:name w:val="WW8Num165z0"/>
    <w:qFormat/>
    <w:rPr/>
  </w:style>
  <w:style w:type="character" w:styleId="WW8Num167z0">
    <w:name w:val="WW8Num167z0"/>
    <w:qFormat/>
    <w:rPr/>
  </w:style>
  <w:style w:type="character" w:styleId="WW8Num169z0">
    <w:name w:val="WW8Num169z0"/>
    <w:qFormat/>
    <w:rPr>
      <w:rFonts w:ascii="Wingdings" w:hAnsi="Wingdings" w:cs="Wingdings"/>
      <w:sz w:val="16"/>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Times New Roman;Times New Roman" w:hAnsi="Times New Roman;Times New Roman" w:cs="Times New Roman;Times New Roman"/>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style>
  <w:style w:type="character" w:styleId="WW8Num181z0">
    <w:name w:val="WW8Num181z0"/>
    <w:qFormat/>
    <w:rPr>
      <w:rFonts w:ascii="Symbol" w:hAnsi="Symbol" w:cs="Symbol"/>
    </w:rPr>
  </w:style>
  <w:style w:type="character" w:styleId="WW8Num184z0">
    <w:name w:val="WW8Num184z0"/>
    <w:qFormat/>
    <w:rPr>
      <w:u w:val="single"/>
    </w:rPr>
  </w:style>
  <w:style w:type="character" w:styleId="WW8Num185z0">
    <w:name w:val="WW8Num185z0"/>
    <w:qFormat/>
    <w:rPr>
      <w:u w:val="none"/>
    </w:rPr>
  </w:style>
  <w:style w:type="character" w:styleId="WW8Num186z0">
    <w:name w:val="WW8Num186z0"/>
    <w:qFormat/>
    <w:rPr/>
  </w:style>
  <w:style w:type="character" w:styleId="WW8Num187z0">
    <w:name w:val="WW8Num187z0"/>
    <w:qFormat/>
    <w:rPr>
      <w:rFonts w:ascii="Symbol" w:hAnsi="Symbol" w:cs="Symbol"/>
      <w:sz w:val="20"/>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u w:val="none"/>
    </w:rPr>
  </w:style>
  <w:style w:type="character" w:styleId="WW8Num197z1">
    <w:name w:val="WW8Num197z1"/>
    <w:qFormat/>
    <w:rPr/>
  </w:style>
  <w:style w:type="character" w:styleId="WW8Num198z0">
    <w:name w:val="WW8Num198z0"/>
    <w:qFormat/>
    <w:rPr>
      <w:rFonts w:ascii="Symbol" w:hAnsi="Symbol" w:cs="Symbol"/>
      <w:sz w:val="20"/>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style>
  <w:style w:type="character" w:styleId="WW8Num206z0">
    <w:name w:val="WW8Num20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240" w:before="0" w:after="60"/>
      <w:jc w:val="center"/>
    </w:pPr>
    <w:rPr>
      <w:rFonts w:ascii="Times New Roman;Times New Roman" w:hAnsi="Times New Roman;Times New Roman" w:cs="Times New Roman;Times New Roman"/>
      <w:b/>
      <w:smallCaps/>
      <w:sz w:val="28"/>
    </w:rPr>
  </w:style>
  <w:style w:type="paragraph" w:styleId="BodyText">
    <w:name w:val="Body Text"/>
    <w:basedOn w:val="Normal"/>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next w:val="EndnoteText"/>
    <w:pPr/>
    <w:rPr>
      <w:sz w:val="20"/>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autoSpaceDE w:val="false"/>
      <w:ind w:hanging="0" w:start="709" w:end="0"/>
    </w:pPr>
    <w:rPr>
      <w:rFonts w:ascii="Times New Roman;Times New Roman" w:hAnsi="Times New Roman;Times New Roman" w:eastAsia="ＭＳ Ｐゴシック;MS Gothic" w:cs="Times New Roman;Times New Roman"/>
    </w:rPr>
  </w:style>
  <w:style w:type="paragraph" w:styleId="BodyTextIndent">
    <w:name w:val="Body Text Indent"/>
    <w:basedOn w:val="Normal"/>
    <w:pPr>
      <w:ind w:hanging="0" w:start="720" w:end="0"/>
    </w:pPr>
    <w:rPr>
      <w:rFonts w:ascii="Times New Roman;Times New Roman" w:hAnsi="Times New Roman;Times New Roman" w:cs="Times New Roman;Times New Roman"/>
    </w:rPr>
  </w:style>
  <w:style w:type="paragraph" w:styleId="BodyTextIndent2">
    <w:name w:val="Body Text Indent 2"/>
    <w:basedOn w:val="Normal"/>
    <w:qFormat/>
    <w:pPr>
      <w:tabs>
        <w:tab w:val="clear" w:pos="720"/>
        <w:tab w:val="left" w:pos="1418" w:leader="none"/>
      </w:tabs>
      <w:ind w:hanging="2160" w:start="2880" w:end="0"/>
    </w:pPr>
    <w:rPr/>
  </w:style>
  <w:style w:type="paragraph" w:styleId="EndnoteText">
    <w:name w:val="endnote text"/>
    <w:basedOn w:val="Normal"/>
    <w:pPr/>
    <w:rPr>
      <w:sz w:val="20"/>
    </w:rPr>
  </w:style>
  <w:style w:type="paragraph" w:styleId="BodyText2">
    <w:name w:val="Body Text 2"/>
    <w:basedOn w:val="Normal"/>
    <w:qFormat/>
    <w:pPr>
      <w:jc w:val="start"/>
    </w:pPr>
    <w:rPr>
      <w:rFonts w:ascii="Times New Roman;Times New Roman" w:hAnsi="Times New Roman;Times New Roman" w:cs="Times New Roman;Times New Roman"/>
      <w:lang w:val="en-AU"/>
    </w:rPr>
  </w:style>
  <w:style w:type="paragraph" w:styleId="BodyText3">
    <w:name w:val="Body Text 3"/>
    <w:basedOn w:val="Normal"/>
    <w:qFormat/>
    <w:pPr>
      <w:widowControl w:val="false"/>
      <w:autoSpaceDE w:val="false"/>
      <w:spacing w:lineRule="auto" w:line="240"/>
    </w:pPr>
    <w:rPr>
      <w:rFonts w:ascii="Arial;helvetica" w:hAnsi="Arial;helvetica" w:cs="Arial;helvetica"/>
      <w:color w:val="0000FF"/>
      <w:sz w:val="22"/>
      <w:lang w:eastAsia="ja-JP"/>
    </w:rPr>
  </w:style>
  <w:style w:type="paragraph" w:styleId="BlockText">
    <w:name w:val="Block Text"/>
    <w:basedOn w:val="Normal"/>
    <w:qFormat/>
    <w:pPr>
      <w:ind w:hanging="720" w:start="2160" w:end="-90"/>
    </w:pPr>
    <w:rPr>
      <w:rFonts w:ascii="Times New Roman;Times New Roman" w:hAnsi="Times New Roman;Times New Roman" w:cs="Times New Roman;Times New Roman"/>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Memo</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2000-06-15T12:05:00Z</dcterms:created>
  <dc:creator>Jeremy Pitts</dc:creator>
  <dc:description/>
  <dc:language>en-CA</dc:language>
  <cp:lastModifiedBy>Jeremy Pitts</cp:lastModifiedBy>
  <cp:lastPrinted>2000-06-15T23:48:00Z</cp:lastPrinted>
  <dcterms:modified xsi:type="dcterms:W3CDTF">2000-06-15T12:59:00Z</dcterms:modified>
  <cp:revision>7</cp:revision>
  <dc:subject/>
  <dc:title>English Fax</dc:title>
</cp:coreProperties>
</file>