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b/>
          <w:smallCaps/>
          <w:sz w:val="36"/>
        </w:rPr>
        <w:t>M</w:t>
      </w:r>
      <w:r>
        <w:rPr>
          <w:b/>
          <w:smallCaps/>
          <w:sz w:val="28"/>
        </w:rPr>
        <w:t>ayor</w:t>
      </w:r>
      <w:r>
        <w:rPr>
          <w:b/>
          <w:smallCaps/>
        </w:rPr>
        <w:t xml:space="preserve">, </w:t>
      </w:r>
      <w:r>
        <w:rPr>
          <w:b/>
          <w:smallCaps/>
          <w:sz w:val="36"/>
        </w:rPr>
        <w:t>D</w:t>
      </w:r>
      <w:r>
        <w:rPr>
          <w:b/>
          <w:smallCaps/>
          <w:sz w:val="28"/>
        </w:rPr>
        <w:t>ay</w:t>
      </w:r>
      <w:r>
        <w:rPr>
          <w:b/>
          <w:smallCaps/>
        </w:rPr>
        <w:t xml:space="preserve">, </w:t>
      </w:r>
      <w:r>
        <w:rPr>
          <w:b/>
          <w:smallCaps/>
          <w:sz w:val="36"/>
        </w:rPr>
        <w:t>C</w:t>
      </w:r>
      <w:r>
        <w:rPr>
          <w:b/>
          <w:smallCaps/>
          <w:sz w:val="28"/>
        </w:rPr>
        <w:t>aldwell</w:t>
      </w:r>
      <w:r>
        <w:rPr>
          <w:b/>
          <w:smallCaps/>
        </w:rPr>
        <w:t xml:space="preserve"> </w:t>
      </w:r>
      <w:r>
        <w:rPr>
          <w:b/>
          <w:smallCaps/>
          <w:sz w:val="32"/>
        </w:rPr>
        <w:t>&amp;</w:t>
      </w:r>
      <w:r>
        <w:rPr>
          <w:b/>
          <w:smallCaps/>
        </w:rPr>
        <w:t xml:space="preserve"> </w:t>
      </w:r>
      <w:r>
        <w:rPr>
          <w:b/>
          <w:smallCaps/>
          <w:sz w:val="36"/>
        </w:rPr>
        <w:t>K</w:t>
      </w:r>
      <w:r>
        <w:rPr>
          <w:b/>
          <w:smallCaps/>
          <w:sz w:val="28"/>
        </w:rPr>
        <w:t>eeton</w:t>
      </w:r>
      <w:r>
        <w:rPr>
          <w:b/>
          <w:smallCaps/>
        </w:rPr>
        <w:t>, L.L.P.</w:t>
      </w:r>
    </w:p>
    <w:p>
      <w:pPr>
        <w:pStyle w:val="Normal"/>
        <w:jc w:val="center"/>
        <w:rPr>
          <w:b/>
          <w:smallCaps/>
        </w:rPr>
      </w:pPr>
      <w:r>
        <w:rPr>
          <w:b/>
          <w:smallCaps/>
        </w:rPr>
      </w:r>
    </w:p>
    <w:p>
      <w:pPr>
        <w:pStyle w:val="Normal"/>
        <w:jc w:val="center"/>
        <w:rPr>
          <w:b/>
        </w:rPr>
      </w:pPr>
      <w:r>
        <w:rPr>
          <w:b/>
        </w:rPr>
        <w:t>PRIVILEGED &amp; CONFIDENTIAL MEMORANDUM</w:t>
      </w:r>
    </w:p>
    <w:p>
      <w:pPr>
        <w:pStyle w:val="Normal"/>
        <w:jc w:val="center"/>
        <w:rPr>
          <w:b/>
        </w:rPr>
      </w:pPr>
      <w:r>
        <w:rPr>
          <w:b/>
        </w:rPr>
      </w:r>
    </w:p>
    <w:p>
      <w:pPr>
        <w:pStyle w:val="Normal"/>
        <w:jc w:val="center"/>
        <w:rPr/>
      </w:pPr>
      <w:r>
        <w:rPr/>
      </w:r>
    </w:p>
    <w:tbl>
      <w:tblPr>
        <w:tblW w:w="9576" w:type="dxa"/>
        <w:jc w:val="start"/>
        <w:tblInd w:w="0" w:type="dxa"/>
        <w:tblLayout w:type="fixed"/>
        <w:tblCellMar>
          <w:top w:w="0" w:type="dxa"/>
          <w:start w:w="108" w:type="dxa"/>
          <w:bottom w:w="0" w:type="dxa"/>
          <w:end w:w="108" w:type="dxa"/>
        </w:tblCellMar>
      </w:tblPr>
      <w:tblGrid>
        <w:gridCol w:w="1638"/>
        <w:gridCol w:w="7938"/>
      </w:tblGrid>
      <w:tr>
        <w:trPr/>
        <w:tc>
          <w:tcPr>
            <w:tcW w:w="1638" w:type="dxa"/>
            <w:tcBorders/>
          </w:tcPr>
          <w:p>
            <w:pPr>
              <w:pStyle w:val="Header"/>
              <w:tabs>
                <w:tab w:val="clear" w:pos="4320"/>
                <w:tab w:val="right" w:pos="9360" w:leader="none"/>
              </w:tabs>
              <w:rPr/>
            </w:pPr>
            <w:r>
              <w:rPr/>
              <w:t>TO:</w:t>
            </w:r>
          </w:p>
        </w:tc>
        <w:tc>
          <w:tcPr>
            <w:tcW w:w="7938" w:type="dxa"/>
            <w:tcBorders/>
          </w:tcPr>
          <w:p>
            <w:pPr>
              <w:pStyle w:val="Header"/>
              <w:tabs>
                <w:tab w:val="clear" w:pos="4320"/>
                <w:tab w:val="right" w:pos="9360" w:leader="none"/>
              </w:tabs>
              <w:rPr/>
            </w:pPr>
            <w:r>
              <w:rPr/>
              <w:fldChar w:fldCharType="begin"/>
            </w:r>
            <w:r>
              <w:rPr/>
              <w:instrText xml:space="preserve"> FILLIN "Type Recipient(s) Name(s)"</w:instrText>
            </w:r>
            <w:r>
              <w:rPr/>
              <w:fldChar w:fldCharType="separate"/>
            </w:r>
            <w:r>
              <w:rPr/>
              <w:t>Enron Capital &amp; Trade Resources Corp.</w:t>
            </w:r>
            <w:r>
              <w:rPr/>
              <w:fldChar w:fldCharType="end"/>
            </w:r>
            <w:r>
              <w:rPr/>
              <w:t xml:space="preserve"> (“Enron”)</w:t>
            </w:r>
          </w:p>
        </w:tc>
      </w:tr>
      <w:tr>
        <w:trPr/>
        <w:tc>
          <w:tcPr>
            <w:tcW w:w="1638" w:type="dxa"/>
            <w:tcBorders/>
          </w:tcPr>
          <w:p>
            <w:pPr>
              <w:pStyle w:val="Normal"/>
              <w:snapToGrid w:val="false"/>
              <w:rPr/>
            </w:pPr>
            <w:r>
              <w:rPr/>
            </w:r>
          </w:p>
        </w:tc>
        <w:tc>
          <w:tcPr>
            <w:tcW w:w="7938" w:type="dxa"/>
            <w:tcBorders/>
          </w:tcPr>
          <w:p>
            <w:pPr>
              <w:pStyle w:val="Normal"/>
              <w:snapToGrid w:val="false"/>
              <w:rPr/>
            </w:pPr>
            <w:r>
              <w:rPr/>
            </w:r>
          </w:p>
        </w:tc>
      </w:tr>
      <w:tr>
        <w:trPr/>
        <w:tc>
          <w:tcPr>
            <w:tcW w:w="1638" w:type="dxa"/>
            <w:tcBorders/>
          </w:tcPr>
          <w:p>
            <w:pPr>
              <w:pStyle w:val="Normal"/>
              <w:rPr/>
            </w:pPr>
            <w:r>
              <w:rPr/>
              <w:t>FROM:</w:t>
            </w:r>
          </w:p>
        </w:tc>
        <w:tc>
          <w:tcPr>
            <w:tcW w:w="7938" w:type="dxa"/>
            <w:tcBorders/>
          </w:tcPr>
          <w:p>
            <w:pPr>
              <w:pStyle w:val="Normal"/>
              <w:rPr/>
            </w:pPr>
            <w:r>
              <w:rPr/>
              <w:fldChar w:fldCharType="begin"/>
            </w:r>
            <w:r>
              <w:rPr/>
              <w:instrText xml:space="preserve"> FILLIN "Type Sender's Name"</w:instrText>
            </w:r>
            <w:r>
              <w:rPr/>
              <w:fldChar w:fldCharType="separate"/>
            </w:r>
            <w:r>
              <w:rPr/>
              <w:t>Mayor, Day, Caldwell &amp; Keeton, L.L.P.</w:t>
            </w:r>
            <w:r>
              <w:rPr/>
              <w:fldChar w:fldCharType="end"/>
            </w:r>
            <w:r>
              <w:rPr/>
              <w:t xml:space="preserve"> </w:t>
            </w:r>
          </w:p>
        </w:tc>
      </w:tr>
      <w:tr>
        <w:trPr/>
        <w:tc>
          <w:tcPr>
            <w:tcW w:w="1638" w:type="dxa"/>
            <w:tcBorders/>
          </w:tcPr>
          <w:p>
            <w:pPr>
              <w:pStyle w:val="Normal"/>
              <w:snapToGrid w:val="false"/>
              <w:rPr/>
            </w:pPr>
            <w:r>
              <w:rPr/>
            </w:r>
          </w:p>
        </w:tc>
        <w:tc>
          <w:tcPr>
            <w:tcW w:w="7938" w:type="dxa"/>
            <w:tcBorders/>
          </w:tcPr>
          <w:p>
            <w:pPr>
              <w:pStyle w:val="Normal"/>
              <w:snapToGrid w:val="false"/>
              <w:rPr/>
            </w:pPr>
            <w:r>
              <w:rPr/>
            </w:r>
          </w:p>
        </w:tc>
      </w:tr>
      <w:tr>
        <w:trPr/>
        <w:tc>
          <w:tcPr>
            <w:tcW w:w="1638" w:type="dxa"/>
            <w:tcBorders/>
          </w:tcPr>
          <w:p>
            <w:pPr>
              <w:pStyle w:val="Normal"/>
              <w:rPr/>
            </w:pPr>
            <w:r>
              <w:rPr/>
              <w:t>DATE:</w:t>
            </w:r>
          </w:p>
        </w:tc>
        <w:tc>
          <w:tcPr>
            <w:tcW w:w="7938" w:type="dxa"/>
            <w:tcBorders/>
          </w:tcPr>
          <w:p>
            <w:pPr>
              <w:pStyle w:val="Normal"/>
              <w:rPr/>
            </w:pPr>
            <w:r>
              <w:rPr/>
              <w:t>November 7, 2000</w:t>
            </w:r>
          </w:p>
        </w:tc>
      </w:tr>
      <w:tr>
        <w:trPr/>
        <w:tc>
          <w:tcPr>
            <w:tcW w:w="1638" w:type="dxa"/>
            <w:tcBorders/>
          </w:tcPr>
          <w:p>
            <w:pPr>
              <w:pStyle w:val="Normal"/>
              <w:snapToGrid w:val="false"/>
              <w:rPr/>
            </w:pPr>
            <w:r>
              <w:rPr/>
            </w:r>
          </w:p>
        </w:tc>
        <w:tc>
          <w:tcPr>
            <w:tcW w:w="7938" w:type="dxa"/>
            <w:tcBorders/>
          </w:tcPr>
          <w:p>
            <w:pPr>
              <w:pStyle w:val="Normal"/>
              <w:snapToGrid w:val="false"/>
              <w:rPr/>
            </w:pPr>
            <w:r>
              <w:rPr/>
            </w:r>
          </w:p>
        </w:tc>
      </w:tr>
      <w:tr>
        <w:trPr/>
        <w:tc>
          <w:tcPr>
            <w:tcW w:w="1638" w:type="dxa"/>
            <w:tcBorders/>
          </w:tcPr>
          <w:p>
            <w:pPr>
              <w:pStyle w:val="Normal"/>
              <w:rPr/>
            </w:pPr>
            <w:r>
              <w:rPr/>
              <w:t>RE:</w:t>
            </w:r>
          </w:p>
        </w:tc>
        <w:tc>
          <w:tcPr>
            <w:tcW w:w="7938" w:type="dxa"/>
            <w:tcBorders/>
          </w:tcPr>
          <w:p>
            <w:pPr>
              <w:pStyle w:val="Normal"/>
              <w:rPr/>
            </w:pPr>
            <w:r>
              <w:rPr/>
              <w:fldChar w:fldCharType="begin"/>
            </w:r>
            <w:r>
              <w:rPr/>
              <w:instrText xml:space="preserve"> FILLIN "Type Subject"</w:instrText>
            </w:r>
            <w:r>
              <w:rPr/>
              <w:fldChar w:fldCharType="separate"/>
            </w:r>
            <w:r>
              <w:rPr/>
              <w:t>Effect of U.S. Department of Commerce Promulgation of Data Protection “Safe Harbor” on Enron’s Existing Data Protection Policy and Agreement</w:t>
            </w:r>
            <w:r>
              <w:rPr/>
              <w:fldChar w:fldCharType="end"/>
            </w:r>
            <w:r>
              <w:rPr/>
              <w:t xml:space="preserve"> </w:t>
            </w:r>
          </w:p>
        </w:tc>
      </w:tr>
    </w:tbl>
    <w:p>
      <w:pPr>
        <w:pStyle w:val="Normal"/>
        <w:pBdr>
          <w:bottom w:val="single" w:sz="12" w:space="1" w:color="000000"/>
        </w:pBdr>
        <w:rPr/>
      </w:pPr>
      <w:r>
        <w:rPr/>
      </w:r>
    </w:p>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Pr>
    </w:p>
    <w:p>
      <w:pPr>
        <w:pStyle w:val="Normal"/>
        <w:rPr/>
      </w:pPr>
      <w:r>
        <w:rPr/>
      </w:r>
    </w:p>
    <w:p>
      <w:pPr>
        <w:pStyle w:val="Normal"/>
        <w:tabs>
          <w:tab w:val="clear" w:pos="720"/>
          <w:tab w:val="center" w:pos="4680" w:leader="none"/>
        </w:tabs>
        <w:rPr/>
      </w:pPr>
      <w:r>
        <w:rPr/>
        <w:tab/>
        <w:t>I.</w:t>
      </w:r>
    </w:p>
    <w:p>
      <w:pPr>
        <w:pStyle w:val="Normal"/>
        <w:tabs>
          <w:tab w:val="clear" w:pos="720"/>
          <w:tab w:val="center" w:pos="4680" w:leader="none"/>
        </w:tabs>
        <w:rPr/>
      </w:pPr>
      <w:r>
        <w:rPr/>
      </w:r>
    </w:p>
    <w:p>
      <w:pPr>
        <w:pStyle w:val="FLI5LftInd0"/>
        <w:rPr/>
      </w:pPr>
      <w:r>
        <w:rPr/>
        <w:t>As you are well aware, until recently compliance with the various international laws governing data protection for a global company such as Enron had been somewhat perplexing.  The plethora of legislative acts by the European Union member states acting to implement  European Council Directive 95/46/EC covering The Protection of Individuals With Regard to the Processing of Personal Data and on the Free Movement of Such Data (the “Directive”) varied greatly from one member state to another.  This left Enron and other multi-national companies with no alternative but to comply with each member states’ (in which they have a presence) version of the enabling data protection act.  The wide variances and inconsistencies between the various adoptions of the Directive rendered compliance difficult.  On top of this, as we discussed in our earlier meetings with you, the transfer of data from a European Union member state to the United States was hindered by the European Council’s determination that United States privacy laws did not provide “adequate protection” with respect to the processing of personal data.  This effectively meant that in the absence of an express agreement between the transferring parties that “adduces adequate safeguards with respect to the protection of privacy”,</w:t>
      </w:r>
      <w:r>
        <w:rPr>
          <w:rStyle w:val="FootnoteCharacters"/>
          <w:rStyle w:val="FootnoteReference"/>
        </w:rPr>
        <w:footnoteReference w:id="2"/>
      </w:r>
      <w:r>
        <w:rPr/>
        <w:t xml:space="preserve"> personal data collected about Enron employees in a European Union member state could not be transmitted from such foreign office to an Enron office in the States.  </w:t>
      </w:r>
    </w:p>
    <w:p>
      <w:pPr>
        <w:pStyle w:val="FLI5LftInd0"/>
        <w:rPr/>
      </w:pPr>
      <w:r>
        <w:rPr/>
        <w:t>After years of negotiations, the U.S. Department of Commerce, in July 2000, developed a simplified alternative to the convoluted regulation regime referenced above. Among other things, under the Commerce Department alternative—which we will refer to as the “safe harbor”— European affiliates of a U.S. company may transmit information of their employees to such U.S. company if a compliance policy incorporating the seven principles described below is in place and if the U.S. company has filed with the Commerce Department a certification of compliance under the safe harbor.</w:t>
      </w:r>
      <w:r>
        <w:rPr>
          <w:rStyle w:val="FootnoteCharacters"/>
          <w:rStyle w:val="FootnoteReference"/>
        </w:rPr>
        <w:footnoteReference w:id="3"/>
      </w:r>
      <w:r>
        <w:rPr/>
        <w:t xml:space="preserve"> The “principles” that make up the safe harbor framework are as follows:  (i) notice; (ii) choice; (iii) onward transfer; (iv) security; (v) data integrity; (vi) access; and (vii) enforcement.  Clearly these principles were derived from the Directive.</w:t>
      </w:r>
    </w:p>
    <w:p>
      <w:pPr>
        <w:pStyle w:val="FLI5LftInd0"/>
        <w:ind w:hanging="0" w:end="0"/>
        <w:rPr/>
      </w:pPr>
      <w:r>
        <w:rPr/>
        <w:tab/>
        <w:t>However, despite the multitude of headaches that the safe harbor framework seemingly cures, U.S. companies have been slow to register with the Commerce Department.  In fact, to date only twelve organizations have registered.  As we discussed during our last call, the most oft-cited reason for foregoing registration is the required submission by the registering company to FTC regulation.  Even when the data being transferred is merely employment data of a solely internal nature, FTC jurisdiction attaches nonetheless.  The FTC made this clear in a letter to the Director of the European Commission dated July 14, 2000 when it stated:</w:t>
      </w:r>
    </w:p>
    <w:p>
      <w:pPr>
        <w:pStyle w:val="FLI5LftInd0"/>
        <w:ind w:hanging="0" w:start="720" w:end="720"/>
        <w:rPr/>
      </w:pPr>
      <w:r>
        <w:rPr/>
        <w:t>We want to assure you that we have carefully reviewed the FTC authorizing legislation, related documents, and relevant case law and have concluded that the FTC has the same jurisdiction in the employment-related data situation as it would generally under Section 5 of the FTC Act.  That is to say, assuming a case met our existing criteria (unfairness or deception) for a privacy-related enforcement action, we could take action in the employment-related data situation.</w:t>
      </w:r>
    </w:p>
    <w:p>
      <w:pPr>
        <w:pStyle w:val="FLI5LftInd0"/>
        <w:tabs>
          <w:tab w:val="clear" w:pos="720"/>
          <w:tab w:val="center" w:pos="4680" w:leader="none"/>
        </w:tabs>
        <w:ind w:hanging="0" w:end="0"/>
        <w:rPr/>
      </w:pPr>
      <w:r>
        <w:rPr/>
        <w:t xml:space="preserve">Another reason that is cited for the chilled response is the cost to an organization for changing privacy practices.  Also, some companies worry that if they were to sign on that they would then be forced to extend the safe harbor protections to their U.S. customers/employees as well. </w:t>
      </w:r>
    </w:p>
    <w:p>
      <w:pPr>
        <w:pStyle w:val="FLI5LftInd0"/>
        <w:tabs>
          <w:tab w:val="clear" w:pos="720"/>
          <w:tab w:val="center" w:pos="4680" w:leader="none"/>
        </w:tabs>
        <w:ind w:hanging="0" w:end="0"/>
        <w:rPr/>
      </w:pPr>
      <w:r>
        <w:rPr>
          <w:b/>
        </w:rPr>
        <w:tab/>
      </w:r>
      <w:r>
        <w:rPr/>
        <w:t>II.</w:t>
      </w:r>
    </w:p>
    <w:p>
      <w:pPr>
        <w:pStyle w:val="FLI5LftInd0"/>
        <w:ind w:hanging="0" w:end="0"/>
        <w:rPr/>
      </w:pPr>
      <w:r>
        <w:rPr>
          <w:b/>
        </w:rPr>
        <w:tab/>
      </w:r>
      <w:r>
        <w:rPr/>
        <w:t xml:space="preserve">We now turn to an analysis of Enron’s revised Employee Data Protection Policy (the “Policy”) in light of these new safe harbor principles.  We have indicated below the areas in the Policy that we believe </w:t>
      </w:r>
      <w:r>
        <w:rPr>
          <w:i/>
        </w:rPr>
        <w:t xml:space="preserve">might </w:t>
      </w:r>
      <w:r>
        <w:rPr/>
        <w:t xml:space="preserve">require modification.  We emphasize “might” because we believe that the Policy that we sent to you previously complied with the applicable principles in the Directive under the then current law—which was not well-developed at the time that we formulated the draft of the Policy.   However, we suspect that with the safe harbor now in effect, a data protection policy of a U.S. company and its European affiliates will be reviewed in comparison to the strictures of the safe harbor, even if the U.S. company does not choose to file a certification.  </w:t>
        <w:tab/>
        <w:t xml:space="preserve">With that preface in mind, we will discuss the seven safe harbor principles and their potential impact on the draft of the Policy that we sent to you previously. </w:t>
      </w:r>
    </w:p>
    <w:p>
      <w:pPr>
        <w:pStyle w:val="FLI5LftInd0"/>
        <w:rPr/>
      </w:pPr>
      <w:r>
        <w:rPr/>
        <w:t>1.</w:t>
        <w:tab/>
      </w:r>
      <w:r>
        <w:rPr>
          <w:u w:val="single"/>
        </w:rPr>
        <w:t>Notice</w:t>
      </w:r>
      <w:r>
        <w:rPr/>
        <w:t>.  This principle of the safe harbor requires that an organization provide the following to individuals “in clear and conspicuous language [at such time] when individuals are first asked to provide personal information”:</w:t>
      </w:r>
    </w:p>
    <w:p>
      <w:pPr>
        <w:pStyle w:val="FLI5LftInd0"/>
        <w:numPr>
          <w:ilvl w:val="0"/>
          <w:numId w:val="2"/>
        </w:numPr>
        <w:tabs>
          <w:tab w:val="clear" w:pos="720"/>
          <w:tab w:val="left" w:pos="1080" w:leader="none"/>
        </w:tabs>
        <w:ind w:hanging="360" w:start="1080" w:end="0"/>
        <w:rPr/>
      </w:pPr>
      <w:r>
        <w:rPr/>
        <w:t>the purposes for which information is collected and used;</w:t>
      </w:r>
    </w:p>
    <w:p>
      <w:pPr>
        <w:pStyle w:val="FLI5LftInd0"/>
        <w:numPr>
          <w:ilvl w:val="0"/>
          <w:numId w:val="2"/>
        </w:numPr>
        <w:tabs>
          <w:tab w:val="clear" w:pos="720"/>
          <w:tab w:val="left" w:pos="1080" w:leader="none"/>
        </w:tabs>
        <w:ind w:hanging="360" w:start="1080" w:end="0"/>
        <w:rPr/>
      </w:pPr>
      <w:r>
        <w:rPr/>
        <w:t>how to contact the organization with questions or complaints;</w:t>
      </w:r>
    </w:p>
    <w:p>
      <w:pPr>
        <w:pStyle w:val="FLI5LftInd0"/>
        <w:numPr>
          <w:ilvl w:val="0"/>
          <w:numId w:val="2"/>
        </w:numPr>
        <w:tabs>
          <w:tab w:val="clear" w:pos="720"/>
          <w:tab w:val="left" w:pos="1080" w:leader="none"/>
        </w:tabs>
        <w:ind w:hanging="360" w:start="1080" w:end="0"/>
        <w:rPr/>
      </w:pPr>
      <w:r>
        <w:rPr/>
        <w:t>to whom the information will be provided; and</w:t>
      </w:r>
    </w:p>
    <w:p>
      <w:pPr>
        <w:pStyle w:val="FLI5LftInd0"/>
        <w:numPr>
          <w:ilvl w:val="0"/>
          <w:numId w:val="2"/>
        </w:numPr>
        <w:tabs>
          <w:tab w:val="clear" w:pos="720"/>
          <w:tab w:val="left" w:pos="1080" w:leader="none"/>
        </w:tabs>
        <w:ind w:hanging="360" w:start="1080" w:end="0"/>
        <w:rPr/>
      </w:pPr>
      <w:r>
        <w:rPr/>
        <w:t>the choices and means the organization offers for limiting information use and disclosure.</w:t>
      </w:r>
    </w:p>
    <w:p>
      <w:pPr>
        <w:pStyle w:val="FLI5LftInd0"/>
        <w:rPr/>
      </w:pPr>
      <w:r>
        <w:rPr/>
        <w:t>Section 2 of the draft Policy sets forth the purposes for which Enron will use the personal information it obtains from its employees.  The first bullet point is addressed sufficiently, we believe, in Subsections (i)-(viii) of Section 2.  Likewise, we believe the second bullet point above as addressed in Section 7 and the second paragraph of Section 1 properly address how an employee could contact the Data Protection Liaison to lodge a complaint or ask a question regarding the Policy.  (However, if feasible, you may consider including in the Policy a general e-mail address and/or phone number that an employee could utilize to lodge a complaint to or ask a question of a Data Protection Liaison.)</w:t>
      </w:r>
    </w:p>
    <w:p>
      <w:pPr>
        <w:pStyle w:val="FLI5LftInd0"/>
        <w:rPr/>
      </w:pPr>
      <w:r>
        <w:rPr/>
        <w:t xml:space="preserve">As to the third bullet point, we composed the draft Policy so that it clearly identified the entities with which data would be shared—i.e. Enron affiliated companies.  As you may recall, we made the judgment call, after discussing the matter, that it would be extremely difficult to identify with great precision exactly who in Enron would have access to employee data. Thus, we left the universe of potential reviewers of personal data somewhat ill-defined. However, your experience may very well allow you to identify this universe with greater precision.  Thus, you may want to consider adding an express statement of who exactly within Enron will be permitted access to the information (i.e., human resources only, local management only, company-wide management).  The greater the precision in such matters, the closer the Policy will fit the apparent demands in the safe harbor for clear identification of the types of recipients of personal information. </w:t>
      </w:r>
    </w:p>
    <w:p>
      <w:pPr>
        <w:pStyle w:val="FLI5LftInd0"/>
        <w:rPr/>
      </w:pPr>
      <w:r>
        <w:rPr/>
        <w:t>The last bullet point above seems to overlap with the “opt out/opt in” requirements below so we will defer our comments regarding this point for now.</w:t>
      </w:r>
    </w:p>
    <w:p>
      <w:pPr>
        <w:pStyle w:val="FLI5LftInd0"/>
        <w:ind w:hanging="0" w:end="0"/>
        <w:rPr/>
      </w:pPr>
      <w:r>
        <w:rPr/>
        <w:tab/>
        <w:t>2.</w:t>
        <w:tab/>
      </w:r>
      <w:r>
        <w:rPr>
          <w:u w:val="single"/>
        </w:rPr>
        <w:t>Choice</w:t>
      </w:r>
      <w:r>
        <w:rPr/>
        <w:t>.  There are two aspects of this principle under the safe harbor:</w:t>
      </w:r>
    </w:p>
    <w:p>
      <w:pPr>
        <w:pStyle w:val="FLI5LftInd0"/>
        <w:ind w:start="720" w:end="0"/>
        <w:rPr/>
      </w:pPr>
      <w:r>
        <w:rPr/>
        <w:t>(a)</w:t>
        <w:tab/>
      </w:r>
      <w:r>
        <w:rPr>
          <w:i/>
        </w:rPr>
        <w:t>Opt Out.</w:t>
      </w:r>
      <w:r>
        <w:rPr/>
        <w:t xml:space="preserve">  An organization must afford individuals the option to “opt out” of two situations:  (i) if personal information is to be disclosed to a third party (even if for the same purpose(s) as has already been approved by the individual); and (ii) if personal information is to be used for a purpose that is incompatible with the purpose(s) for which it was originally obtained.  Such option to “opt out” must be “clear and conspicuous, readily available and affordable.”</w:t>
      </w:r>
    </w:p>
    <w:p>
      <w:pPr>
        <w:pStyle w:val="FLI5LftInd0"/>
        <w:ind w:start="720" w:end="0"/>
        <w:rPr/>
      </w:pPr>
      <w:r>
        <w:rPr/>
        <w:t>(b)</w:t>
        <w:tab/>
      </w:r>
      <w:r>
        <w:rPr>
          <w:i/>
        </w:rPr>
        <w:t xml:space="preserve">Opt In (Sensitive Information).  </w:t>
      </w:r>
      <w:r>
        <w:rPr/>
        <w:t>Prior to an organization’s disclosure of “sensitive information” to a third party or for a purpose other than that already consented to, an individual must be afforded the chance to “opt in”.  “Sensitive information” as used here means “personal information specifying medical or health conditions, racial or ethnic origin, political opinions, religious or philosophical beliefs, trade union membership or information specifying the sex life of the individual.”</w:t>
      </w:r>
    </w:p>
    <w:p>
      <w:pPr>
        <w:pStyle w:val="FLI5LftInd0"/>
        <w:rPr/>
      </w:pPr>
      <w:r>
        <w:rPr/>
        <w:t xml:space="preserve">As you may recall, when we drafted the Policy, the concern was not to allow an employee to do violence to your human resources and management evaluation processes by opting out of having information shared.  Indeed the draft Policy attempted to be very broad in the consent provisions in an attempt to address this issue.  </w:t>
      </w:r>
    </w:p>
    <w:p>
      <w:pPr>
        <w:pStyle w:val="FLI5LftInd0"/>
        <w:rPr/>
      </w:pPr>
      <w:r>
        <w:rPr/>
        <w:t xml:space="preserve">We do not recommend a dramatic change in this approach.  However, we believe that Enron may incorporate a form of  “opt out”/ “opt in” provisions that will not undermine your legitimate human resource requirements and that will, nonetheless, comport with the requirements of the safe harbor. In the last paragraph of Section 2 of the current draft of the Policy, Enron undertakes to keep its employees informed about the purposes of the processing of their personal information.  Enron may want to consider granting an “opt out” if personal information is to be transferred to a new third party or such information is to be used for a purpose not contemplated when the information was initially obtained from the employee. By “new third party” we mean a third party other than insurance carriers, pension and benefit providers and the like; we believe that a blanket permission for such third parties should be incorporated and should be permissible. </w:t>
      </w:r>
    </w:p>
    <w:p>
      <w:pPr>
        <w:pStyle w:val="FLI5LftInd0"/>
        <w:rPr/>
      </w:pPr>
      <w:r>
        <w:rPr/>
        <w:t xml:space="preserve">The Policy’s coverage of sensitive information in the second to last paragraph in Section 2 may need some slight revision.  In the laundry list of sensitive information we have added “philosophical beliefs” to conform to the list stated in the principles.  More importantly, we have specified that prior to any disclosure of such information to a third party or for a purpose that differs from the purpose to which the employee has already authorized disclosure the employee must “opt in” to such disclosure.  In other words, unless and until an employee “opts in” as to such disclosure of his sensitive information, no disclosure may be made.  Again, we have tried to be broad in the statement of purpose (as with the current draft of the Policy) as well as broad in our identification of third parties. We do not think, therefore, the opt in that we suggest represents a significant departure from the current Policy. </w:t>
      </w:r>
    </w:p>
    <w:p>
      <w:pPr>
        <w:pStyle w:val="FLI5LftInd0"/>
        <w:rPr/>
      </w:pPr>
      <w:r>
        <w:rPr/>
        <w:t>Moreover, to counteract the broad “opt in” and “opt out” language that we added to the Policy, we propose (per your suggestion) that the following language be utilized in a “pop-up” text box on Enron’s Intranet at such times that previously obtained employee information is sought to be disclosed to a “new” third party or to be used for a purpose other than that already consented to by the employee:</w:t>
      </w:r>
    </w:p>
    <w:p>
      <w:pPr>
        <w:pStyle w:val="FLI5LftInd0"/>
        <w:ind w:hanging="0" w:start="720" w:end="720"/>
        <w:rPr/>
      </w:pPr>
      <w:r>
        <w:rPr/>
        <w:t>Whenever we decide to change our data protection policies under the “Employee Data Protection Policy” to allow a use of personal information relating to you in a manner other than for the purposes to which you have previously consented or disclose such information to a third party not within the scope of your prior consent, the “Employee Data Protection Policy” requires us to obtain your consent to such use or disclosure.   Accordingly, please read the following acknowledgement and indicate whether you consent to the following:</w:t>
      </w:r>
    </w:p>
    <w:p>
      <w:pPr>
        <w:pStyle w:val="FLI5LftInd0"/>
        <w:ind w:hanging="0" w:start="1440" w:end="1440"/>
        <w:rPr/>
      </w:pPr>
      <w:r>
        <w:rPr/>
        <w:t xml:space="preserve">I hereby acknowledge and consent to Enron Corp.’s disclosure of my personal information [describe type of information, e.g.  information relating to medical or health conditions, racial or ethnic origin, political opinions, religious or philosophical beliefs, or trade union membership]  in the following new manner to the following  third parties for </w:t>
      </w:r>
      <w:r>
        <w:rPr>
          <w:b/>
        </w:rPr>
        <w:t>[explain purpose]</w:t>
      </w:r>
      <w:r>
        <w:rPr/>
        <w:t>: _______________.</w:t>
      </w:r>
    </w:p>
    <w:p>
      <w:pPr>
        <w:pStyle w:val="FLI5LftInd0"/>
        <w:ind w:hanging="0" w:start="1440" w:end="1440"/>
        <w:rPr/>
      </w:pPr>
      <w:r>
        <w:rPr/>
        <w:tab/>
      </w:r>
      <w:r>
        <mc:AlternateContent>
          <mc:Choice Requires="wps">
            <w:drawing>
              <wp:anchor behindDoc="0" distT="0" distB="0" distL="114935" distR="114935" simplePos="0" locked="0" layoutInCell="1" allowOverlap="1" relativeHeight="9">
                <wp:simplePos x="0" y="0"/>
                <wp:positionH relativeFrom="column">
                  <wp:posOffset>1367155</wp:posOffset>
                </wp:positionH>
                <wp:positionV relativeFrom="paragraph">
                  <wp:posOffset>26035</wp:posOffset>
                </wp:positionV>
                <wp:extent cx="1106170" cy="283210"/>
                <wp:effectExtent l="0" t="0" r="0" b="0"/>
                <wp:wrapNone/>
                <wp:docPr id="2" name="Frame2"/>
                <a:graphic xmlns:a="http://schemas.openxmlformats.org/drawingml/2006/main">
                  <a:graphicData uri="http://schemas.microsoft.com/office/word/2010/wordprocessingShape">
                    <wps:wsp>
                      <wps:cNvSpPr txBox="1"/>
                      <wps:spPr>
                        <a:xfrm>
                          <a:off x="0" y="0"/>
                          <a:ext cx="1106170" cy="283210"/>
                        </a:xfrm>
                        <a:prstGeom prst="rect"/>
                        <a:solidFill>
                          <a:srgbClr val="FFFFFF"/>
                        </a:solidFill>
                        <a:ln w="9525">
                          <a:solidFill>
                            <a:srgbClr val="000000"/>
                          </a:solidFill>
                        </a:ln>
                      </wps:spPr>
                      <wps:txbx>
                        <w:txbxContent>
                          <w:p>
                            <w:pPr>
                              <w:pStyle w:val="Normal"/>
                              <w:jc w:val="center"/>
                              <w:rPr/>
                            </w:pPr>
                            <w:r>
                              <w:rPr/>
                              <w:t>I CONSENT</w:t>
                            </w:r>
                          </w:p>
                        </w:txbxContent>
                      </wps:txbx>
                      <wps:bodyPr anchor="t" lIns="91440" tIns="45720" rIns="91440" bIns="45720">
                        <a:noAutofit/>
                      </wps:bodyPr>
                    </wps:wsp>
                  </a:graphicData>
                </a:graphic>
              </wp:anchor>
            </w:drawing>
          </mc:Choice>
          <mc:Fallback>
            <w:pict>
              <v:rect fillcolor="#FFFFFF" strokecolor="#000000" strokeweight="0pt" style="position:absolute;rotation:-0;width:87.1pt;height:22.3pt;mso-wrap-distance-left:9.05pt;mso-wrap-distance-right:9.05pt;mso-wrap-distance-top:0pt;mso-wrap-distance-bottom:0pt;margin-top:2.05pt;mso-position-vertical-relative:text;margin-left:107.65pt;mso-position-horizontal-relative:text">
                <v:textbox>
                  <w:txbxContent>
                    <w:p>
                      <w:pPr>
                        <w:pStyle w:val="Normal"/>
                        <w:jc w:val="center"/>
                        <w:rPr/>
                      </w:pPr>
                      <w:r>
                        <w:rPr/>
                        <w:t>I CONSENT</w:t>
                      </w:r>
                    </w:p>
                  </w:txbxContent>
                </v:textbox>
                <w10:wrap type="none"/>
              </v:rect>
            </w:pict>
          </mc:Fallback>
        </mc:AlternateContent>
      </w:r>
      <w:r>
        <mc:AlternateContent>
          <mc:Choice Requires="wps">
            <w:drawing>
              <wp:anchor behindDoc="0" distT="0" distB="0" distL="114935" distR="114935" simplePos="0" locked="0" layoutInCell="1" allowOverlap="1" relativeHeight="10">
                <wp:simplePos x="0" y="0"/>
                <wp:positionH relativeFrom="column">
                  <wp:posOffset>3287395</wp:posOffset>
                </wp:positionH>
                <wp:positionV relativeFrom="paragraph">
                  <wp:posOffset>26035</wp:posOffset>
                </wp:positionV>
                <wp:extent cx="1471930" cy="283210"/>
                <wp:effectExtent l="0" t="0" r="0" b="0"/>
                <wp:wrapNone/>
                <wp:docPr id="3" name="Frame1"/>
                <a:graphic xmlns:a="http://schemas.openxmlformats.org/drawingml/2006/main">
                  <a:graphicData uri="http://schemas.microsoft.com/office/word/2010/wordprocessingShape">
                    <wps:wsp>
                      <wps:cNvSpPr txBox="1"/>
                      <wps:spPr>
                        <a:xfrm>
                          <a:off x="0" y="0"/>
                          <a:ext cx="1471930" cy="283210"/>
                        </a:xfrm>
                        <a:prstGeom prst="rect"/>
                        <a:solidFill>
                          <a:srgbClr val="FFFFFF"/>
                        </a:solidFill>
                        <a:ln w="9525">
                          <a:solidFill>
                            <a:srgbClr val="000000"/>
                          </a:solidFill>
                        </a:ln>
                      </wps:spPr>
                      <wps:txbx>
                        <w:txbxContent>
                          <w:p>
                            <w:pPr>
                              <w:pStyle w:val="Normal"/>
                              <w:jc w:val="center"/>
                              <w:rPr>
                                <w:sz w:val="20"/>
                              </w:rPr>
                            </w:pPr>
                            <w:r>
                              <w:rPr>
                                <w:sz w:val="20"/>
                              </w:rPr>
                              <w:t>I DO NOT CONSENT</w:t>
                            </w:r>
                          </w:p>
                        </w:txbxContent>
                      </wps:txbx>
                      <wps:bodyPr anchor="t" lIns="91440" tIns="45720" rIns="91440" bIns="45720">
                        <a:noAutofit/>
                      </wps:bodyPr>
                    </wps:wsp>
                  </a:graphicData>
                </a:graphic>
              </wp:anchor>
            </w:drawing>
          </mc:Choice>
          <mc:Fallback>
            <w:pict>
              <v:rect fillcolor="#FFFFFF" strokecolor="#000000" strokeweight="0pt" style="position:absolute;rotation:-0;width:115.9pt;height:22.3pt;mso-wrap-distance-left:9.05pt;mso-wrap-distance-right:9.05pt;mso-wrap-distance-top:0pt;mso-wrap-distance-bottom:0pt;margin-top:2.05pt;mso-position-vertical-relative:text;margin-left:258.85pt;mso-position-horizontal-relative:text">
                <v:textbox>
                  <w:txbxContent>
                    <w:p>
                      <w:pPr>
                        <w:pStyle w:val="Normal"/>
                        <w:jc w:val="center"/>
                        <w:rPr>
                          <w:sz w:val="20"/>
                        </w:rPr>
                      </w:pPr>
                      <w:r>
                        <w:rPr>
                          <w:sz w:val="20"/>
                        </w:rPr>
                        <w:t>I DO NOT CONSENT</w:t>
                      </w:r>
                    </w:p>
                  </w:txbxContent>
                </v:textbox>
                <w10:wrap type="none"/>
              </v:rect>
            </w:pict>
          </mc:Fallback>
        </mc:AlternateContent>
      </w:r>
    </w:p>
    <w:p>
      <w:pPr>
        <w:pStyle w:val="FLI5LftInd0"/>
        <w:spacing w:before="0" w:after="120"/>
        <w:rPr/>
      </w:pPr>
      <w:r>
        <w:rPr/>
      </w:r>
    </w:p>
    <w:p>
      <w:pPr>
        <w:pStyle w:val="FLI5LftInd0"/>
        <w:ind w:hanging="0" w:start="1440" w:end="1440"/>
        <w:rPr>
          <w:sz w:val="20"/>
        </w:rPr>
      </w:pPr>
      <w:r>
        <w:rPr>
          <w:sz w:val="20"/>
        </w:rPr>
        <w:t>By clicking on the “I CONSENT” button, you agree to be legally bound to the agreement set forth above and to “opt in” to the use and disclosure of your information as described above.</w:t>
      </w:r>
    </w:p>
    <w:p>
      <w:pPr>
        <w:pStyle w:val="FLI5LftInd0"/>
        <w:rPr/>
      </w:pPr>
      <w:r>
        <w:rPr/>
        <w:t>We assume that you have previously obtained or will obtain the agreement of your employees to the “Employee Data Protection Policy” in a similar manner so that the purposes and third party recipients described in such draft will already have been approved.</w:t>
      </w:r>
    </w:p>
    <w:p>
      <w:pPr>
        <w:pStyle w:val="FLI5LftInd0"/>
        <w:rPr/>
      </w:pPr>
      <w:r>
        <w:rPr/>
        <w:t>3.</w:t>
        <w:tab/>
      </w:r>
      <w:r>
        <w:rPr>
          <w:u w:val="single"/>
        </w:rPr>
        <w:t>Onward Transfer</w:t>
      </w:r>
      <w:r>
        <w:rPr/>
        <w:t>.  This principle of the safe harbor requires that before an organization may transfer data to a third party such organization must (i) ascertain that the third party subscribes to the safe harbor principles, the Directive or other adequacy finding, or (ii) enter into an agreement with the third party whereby such third party agrees to provide at least equal protection to European Union citizens as is provided in the relevant principles.  The organization will not be held responsible when a third party then transfers the data in a non-compliant fashion (unless the organization knew or should have known that the third party would process the data in such a contrary way and did nothing to prevent such misuse).</w:t>
      </w:r>
    </w:p>
    <w:p>
      <w:pPr>
        <w:pStyle w:val="FLI5LftInd0"/>
        <w:rPr/>
      </w:pPr>
      <w:r>
        <w:rPr/>
        <w:t xml:space="preserve">Because this Policy covers employee-related information that will be transferred only internally, the Onward Transfer principle is not as a big of a concern as it may be if this information were to be disclosed to third parties not affiliated with Enron.  Nonetheless, in an overabundance of caution, we have inserted a section that states that Enron will only transfer data to third parties who subscribe to the safe harbor principles (or have some other basis of “adequacy”) or who enter into an agreement with Enron that sufficiently binds such third party to such principles by way of contract. We note in this regard that the draft of the Master Data Protection Agreement should suffice as such an agreement. </w:t>
      </w:r>
    </w:p>
    <w:p>
      <w:pPr>
        <w:pStyle w:val="FLI5LftInd0"/>
        <w:rPr/>
      </w:pPr>
      <w:r>
        <w:rPr/>
        <w:t>4.</w:t>
        <w:tab/>
      </w:r>
      <w:r>
        <w:rPr>
          <w:u w:val="single"/>
        </w:rPr>
        <w:t>Security</w:t>
      </w:r>
      <w:r>
        <w:rPr/>
        <w:t>.  Simply stated, this principle in the safe harbor reads as follows: “Organizations creating, maintaining, using or disseminating personal information must take reasonable precautions to protect it from loss, misuse and unauthorized access, disclosure, alteration and destruction.”</w:t>
      </w:r>
      <w:r>
        <w:rPr>
          <w:rStyle w:val="FootnoteCharacters"/>
          <w:rStyle w:val="FootnoteReference"/>
        </w:rPr>
        <w:footnoteReference w:id="4"/>
      </w:r>
      <w:r>
        <w:rPr/>
        <w:t xml:space="preserve">  We assume that Enron does so, and we do not recommend any changes to the draft Policy with respect to this principle. </w:t>
      </w:r>
    </w:p>
    <w:p>
      <w:pPr>
        <w:pStyle w:val="FLI5LftInd0"/>
        <w:rPr/>
      </w:pPr>
      <w:r>
        <w:rPr/>
        <w:t>5.</w:t>
        <w:tab/>
      </w:r>
      <w:r>
        <w:rPr>
          <w:u w:val="single"/>
        </w:rPr>
        <w:t>Data Integrity</w:t>
      </w:r>
      <w:r>
        <w:rPr/>
        <w:t>.  An organization, under this principle of the safe harbor, must use personal information only for the purposes for which it was collected.  The organization is charged with taking “reasonable steps to ensure that data is reliable for its intended use, accurate, complete, and current.”  Again we assume that Enron in fact takes such reasonable steps.</w:t>
      </w:r>
    </w:p>
    <w:p>
      <w:pPr>
        <w:pStyle w:val="FLI5LftInd0"/>
        <w:rPr/>
      </w:pPr>
      <w:r>
        <w:rPr/>
        <w:t xml:space="preserve">As to the Policy itself, we believe that the data integrity obligations of each employee are sufficiently set forth in the last paragraph of Section 4.  In addition to specifying the </w:t>
      </w:r>
      <w:r>
        <w:rPr>
          <w:i/>
        </w:rPr>
        <w:t>employee’s</w:t>
      </w:r>
      <w:r>
        <w:rPr/>
        <w:t xml:space="preserve"> role in ensuring data integrity, we recommend adding language to make it clear that Enron is relying on the employee’s compliance with his or her obligations in satisfying whatever duties it has to take reasonable steps to ensure that data is reliable for its intended use, accurate, complete, and current.</w:t>
      </w:r>
    </w:p>
    <w:p>
      <w:pPr>
        <w:pStyle w:val="FLI5LftInd0"/>
        <w:rPr/>
      </w:pPr>
      <w:r>
        <w:rPr/>
        <w:t>6.</w:t>
        <w:tab/>
      </w:r>
      <w:r>
        <w:rPr>
          <w:u w:val="single"/>
        </w:rPr>
        <w:t>Access</w:t>
      </w:r>
      <w:r>
        <w:rPr/>
        <w:t>.  Except where the burden or expense of providing access outweighs the benefits gained therefrom, an organization must provide individuals with the ability to access their personal information in order to “correct, amend, or delete” inaccurate information.</w:t>
      </w:r>
    </w:p>
    <w:p>
      <w:pPr>
        <w:pStyle w:val="FLI5LftInd0"/>
        <w:rPr/>
      </w:pPr>
      <w:r>
        <w:rPr/>
        <w:t>It is our view that your Section 5 sufficiently covers the requirements of the access principle.</w:t>
      </w:r>
    </w:p>
    <w:p>
      <w:pPr>
        <w:pStyle w:val="FLI5LftInd0"/>
        <w:rPr/>
      </w:pPr>
      <w:r>
        <w:rPr/>
        <w:t>7.</w:t>
        <w:tab/>
      </w:r>
      <w:r>
        <w:rPr>
          <w:u w:val="single"/>
        </w:rPr>
        <w:t>Enforcement</w:t>
      </w:r>
      <w:r>
        <w:rPr/>
        <w:t>.  This principle of the safe harbor contains three components:</w:t>
      </w:r>
    </w:p>
    <w:p>
      <w:pPr>
        <w:pStyle w:val="FLI5LftInd0"/>
        <w:ind w:start="720" w:end="0"/>
        <w:rPr/>
      </w:pPr>
      <w:r>
        <w:rPr/>
        <w:t>(a)</w:t>
        <w:tab/>
      </w:r>
      <w:r>
        <w:rPr>
          <w:i/>
        </w:rPr>
        <w:t>Verification</w:t>
      </w:r>
      <w:r>
        <w:rPr/>
        <w:t>.  Verification may be met in one of two ways (which method is utilized by the organization should, according to the Commerce Department, be set forth in the Policy):</w:t>
      </w:r>
    </w:p>
    <w:p>
      <w:pPr>
        <w:pStyle w:val="FLI5LftInd0"/>
        <w:ind w:start="1440" w:end="0"/>
        <w:rPr/>
      </w:pPr>
      <w:r>
        <w:rPr/>
        <w:t>(i)</w:t>
        <w:tab/>
      </w:r>
      <w:r>
        <w:rPr>
          <w:b/>
          <w:u w:val="single"/>
        </w:rPr>
        <w:t>Self-Assessment</w:t>
      </w:r>
      <w:r>
        <w:rPr>
          <w:b/>
        </w:rPr>
        <w:t xml:space="preserve">.  </w:t>
      </w:r>
      <w:r>
        <w:rPr/>
        <w:t xml:space="preserve">Under this approach, the organization itself would be responsible for ensuring that its privacy policy is “accurate, comprehensive, prominently displayed, completely implemented, accessible and conforms to the safe harbor principles.”  Appropriate internal procedures and training of employees must be maintained to ensure objective self-assessment.  A corporate officer would attest to the verification of the self-assessment each year and the attestation would be kept on file for inspection by authorities or affected individuals.  </w:t>
      </w:r>
      <w:r>
        <w:rPr>
          <w:u w:val="single"/>
        </w:rPr>
        <w:t>OR</w:t>
      </w:r>
    </w:p>
    <w:p>
      <w:pPr>
        <w:pStyle w:val="FLI5LftInd0"/>
        <w:ind w:start="1440" w:end="0"/>
        <w:rPr/>
      </w:pPr>
      <w:r>
        <w:rPr/>
        <w:t>(ii)</w:t>
        <w:tab/>
      </w:r>
      <w:r>
        <w:rPr>
          <w:b/>
          <w:u w:val="single"/>
        </w:rPr>
        <w:t>Outside Assessment</w:t>
      </w:r>
      <w:r>
        <w:rPr>
          <w:b/>
        </w:rPr>
        <w:t>.</w:t>
      </w:r>
      <w:r>
        <w:rPr/>
        <w:t xml:space="preserve">  A review by an outside group must demonstrate that the organization’s privacy policy conforms to the safe harbor principles, such policy is being followed by the organization and employees are made aware of a mechanism through which they may pursue complaints.  Either the reviewer or a corporate officer of the organization should attest to a successfully completed compliance review on an annual basis.</w:t>
      </w:r>
    </w:p>
    <w:p>
      <w:pPr>
        <w:pStyle w:val="FLI5LftInd0"/>
        <w:ind w:start="720" w:end="0"/>
        <w:rPr/>
      </w:pPr>
      <w:r>
        <w:rPr/>
        <w:t>(b)</w:t>
        <w:tab/>
      </w:r>
      <w:r>
        <w:rPr>
          <w:i/>
        </w:rPr>
        <w:t>Dispute Resolution</w:t>
      </w:r>
      <w:r>
        <w:rPr/>
        <w:t>.  An organization’s dispute resolution mechanism should make clear to those about whom (in the instant case, employees) how they may contact the organization regarding a possible violation of the safe harbor principles and what steps will be taken to resolve such issues.  A dispute resolution mechanism may either be provided by a third party group or by cooperating with the European Union Data Protection Authorities (“DPAs”).</w:t>
      </w:r>
      <w:r>
        <w:rPr>
          <w:rStyle w:val="FootnoteCharacters"/>
          <w:rStyle w:val="FootnoteReference"/>
        </w:rPr>
        <w:footnoteReference w:id="5"/>
      </w:r>
      <w:r>
        <w:rPr/>
        <w:t xml:space="preserve">  Regardless of the mechanism that is chosen, certain criteria must be met; such dispute resolution mechanism must:  (i) contain readily available and affordable independent resource mechanisms to investigate and resolve disputes regarding the principles; (ii) not inhibit the availability of damages when provided by other law; (iii) obligate the organization to remedy problems arising from failure to comply with the principles; (iv) supply sufficiently rigorous sanctions to ensure organizational compliance; (v) notify appropriate authorities of the persistent failure to comply with the principles.</w:t>
      </w:r>
    </w:p>
    <w:p>
      <w:pPr>
        <w:pStyle w:val="FLI5LftInd0"/>
        <w:ind w:start="720" w:end="0"/>
        <w:rPr/>
      </w:pPr>
      <w:r>
        <w:rPr/>
        <w:t>(c)</w:t>
        <w:tab/>
      </w:r>
      <w:r>
        <w:rPr>
          <w:i/>
        </w:rPr>
        <w:t>Remedy.</w:t>
      </w:r>
      <w:r>
        <w:rPr/>
        <w:t xml:space="preserve">  As stated above, rigorous sanctions must be available to reverse noncompliance with the principles.  Persistent failures to comply must be reported to proper authorities.</w:t>
      </w:r>
    </w:p>
    <w:p>
      <w:pPr>
        <w:pStyle w:val="FLI5LftInd0"/>
        <w:rPr/>
      </w:pPr>
      <w:r>
        <w:rPr/>
        <w:t>Obviously, if Enron did decide to file a certification under the safe harbor, we would be recommending a number of changes to the Policy.  However, even if Enron does not do so, we believe that some additional provisions concerning enforcement be added to the Policy that specifically addresses the Enforcement principle.  Our suggested language would merely add to the existing compliance mechanisms already articulated in the Policy.  Specifically, we suggest that in addition to an identified compliance officer, the Policy include an appeals process and an explicit statement that if any employee believes that the Policy has been violated, and their concerns have not been resolved, they may lodge a complaint with a specified senior person at the corporate office of Enron Corp.  If you already have a complaint’s resolution (and appeals process) for employment matters we may want to cross-reference or incorporate such provisions.</w:t>
      </w:r>
    </w:p>
    <w:p>
      <w:pPr>
        <w:pStyle w:val="FLI5LftInd0"/>
        <w:tabs>
          <w:tab w:val="clear" w:pos="720"/>
          <w:tab w:val="center" w:pos="4680" w:leader="none"/>
        </w:tabs>
        <w:rPr/>
      </w:pPr>
      <w:r>
        <w:rPr/>
        <w:tab/>
        <w:t>III.</w:t>
      </w:r>
    </w:p>
    <w:p>
      <w:pPr>
        <w:pStyle w:val="FLI5LftInd0"/>
        <w:rPr/>
      </w:pPr>
      <w:r>
        <w:rPr/>
        <w:t xml:space="preserve">The Commerce Department’s creation of the safe harbor framework did one of two things:  (i) effectively did away with the need for Data Protection Agreements (such as the one we prepared for you in our earlier meetings) for U.S. companies that choose to certify their compliance with the safe harbor principles with the Department of Commerce; or (ii) necessitated revision of the Data Protection Agreements currently in place.  Prior to the promulgation of the safe harbor principles such agreements were one of the alternatives to achieve “adequate protection” for the transmission of European Union citizens’ data to U.S. organizations.  Now registration with the U.S. Department of Commerce under the safe harbor principles leads to a presumption (of sorts) that “adequate protection” has been afforded to European Union citizens.  Thus, if a U.S. organization chooses to register with the Department of Commerce under the safe harbor regime, private agreements with various European Union entities are no longer needed. </w:t>
      </w:r>
    </w:p>
    <w:p>
      <w:pPr>
        <w:pStyle w:val="FLI5LftInd0"/>
        <w:rPr>
          <w:b/>
        </w:rPr>
      </w:pPr>
      <w:r>
        <w:rPr/>
        <w:t xml:space="preserve">But if a U.S. organization elects not to participate and instead rely on its private agreements to provide “adequate protection” to European Union citizens, we believe that such agreements must be reviewed so that they address all of the safe harbor principles discussed above.  We have revised the Data Protection Agreement that we had helped prepare during our earlier meetings to address the specific issues we identified above with respect to the Policy, the difference, of course, being that such issues are set forth in the form of agreements between Enron and its European Union counterparts instead of in declaratory form.  </w:t>
      </w:r>
    </w:p>
    <w:p>
      <w:pPr>
        <w:pStyle w:val="FLI5LftInd0"/>
        <w:rPr>
          <w:b/>
        </w:rPr>
      </w:pPr>
      <w:r>
        <w:rPr/>
        <w:t xml:space="preserve">Regardless of whether Enron decides to satisfy the Directive’s “adequate protection” requirement through participation in the safe harbor or through private agreement, compliance with the respective acts implementing the Directive (and other applicable data protection laws for that matter) of each European Union member state in which Enron has a presence remains a necessity.  In particular, the safe harbor does not affect a company who employs “member” state citizens with respect to its collection of data from such employees.  As the safe harbor only addresses the transatlantic transfer of data to the U.S. (and not the initial collection of data by a European Union entity) local laws of each member state still must be complied with to the letter.  We did not conduct an in-depth analysis of the privacy laws of the various member states in which Enron has a presence and the obligations stemming therefrom.  Please let us know if you desire such analysis from us. </w:t>
      </w:r>
    </w:p>
    <w:p>
      <w:pPr>
        <w:pStyle w:val="FLI5LftInd0"/>
        <w:tabs>
          <w:tab w:val="clear" w:pos="720"/>
          <w:tab w:val="center" w:pos="4680" w:leader="none"/>
        </w:tabs>
        <w:rPr/>
      </w:pPr>
      <w:r>
        <w:rPr/>
        <w:tab/>
        <w:t>IV.</w:t>
      </w:r>
    </w:p>
    <w:p>
      <w:pPr>
        <w:pStyle w:val="FLI5LftInd0"/>
        <w:rPr/>
      </w:pPr>
      <w:r>
        <w:rPr/>
        <w:t xml:space="preserve">Finally, we believe the expert finder database (the “Database”) that we discussed with you during our conversation constitutes the “processing of personal data” as described in the Directive and thus, falls under the purview of the Directive.  Article 25(1) of the Directive provides that </w:t>
      </w:r>
    </w:p>
    <w:p>
      <w:pPr>
        <w:pStyle w:val="FLI5LftInd0"/>
        <w:ind w:hanging="0" w:start="720" w:end="720"/>
        <w:rPr/>
      </w:pPr>
      <w:r>
        <w:rPr/>
        <w:t xml:space="preserve">The Member States shall provide that the transfer to a third country of personal data which are undergoing processing or are intended for processing after transfer may take place only if, without prejudice to compliance with the national provisions adopted pursuant to the other provisions of this Directive, the third country in question ensures an adequate level of protection. </w:t>
      </w:r>
    </w:p>
    <w:p>
      <w:pPr>
        <w:pStyle w:val="FLI5LftInd0"/>
        <w:ind w:hanging="0" w:end="0"/>
        <w:rPr/>
      </w:pPr>
      <w:r>
        <w:rPr/>
        <w:t>It is a given that the type of information sought to be transferred through the Database—employee backgrounds, education, current responsibilities with Enron, etc.—is “personal data” as defined in the Directive.  Furthermore, we think it clear that the creation and operation of the Database is the sort of mechanism that is covered by the phrase, the “processing of personal data”.  Our understanding of your description of the Database is that its operation would involve the following operations performed on personal data (as set forth in the definition of “processing of personal data”):  the “collection, recording, organization, storage, . . . use, disclosure by transmission, dissemination or otherwise make available . . . .”  Thus, we believe, the Database falls squarely within the ambit of the Directive.</w:t>
      </w:r>
    </w:p>
    <w:p>
      <w:pPr>
        <w:pStyle w:val="FLI5LftInd0"/>
        <w:ind w:hanging="0" w:end="0"/>
        <w:rPr/>
      </w:pPr>
      <w:r>
        <w:rPr/>
        <w:tab/>
        <w:t>Please contact us if you have any questions or comments regarding the above.</w:t>
      </w:r>
    </w:p>
    <w:p>
      <w:pPr>
        <w:pStyle w:val="Normal"/>
        <w:rPr/>
      </w:pPr>
      <w:r>
        <w:rPr/>
      </w:r>
    </w:p>
    <w:sectPr>
      <w:footnotePr>
        <w:numFmt w:val="decimal"/>
      </w:footnotePr>
      <w:type w:val="continuous"/>
      <w:pgSz w:w="12240" w:h="15840"/>
      <w:pgMar w:left="1440" w:right="1440" w:gutter="0" w:header="0" w:top="1440" w:footer="720" w:bottom="1440"/>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w:t>
    </w:r>
    <w:r>
      <w:rPr>
        <w:rStyle w:val="PageNumber"/>
      </w:rPr>
      <w:t>-</w:t>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76835" cy="175260"/>
              <wp:effectExtent l="0" t="0" r="0" b="0"/>
              <wp:wrapSquare wrapText="bothSides"/>
              <wp:docPr id="1" name="Frame3"/>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/mnt/main-storage/datasets/enron-docs/doc/Memo_Data_Protection_Safe_Harbor.doc</w:t>
    </w:r>
    <w:r>
      <w:rPr>
        <w:sz w:val="16"/>
        <w:lang w:eastAsia="en-US"/>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widowControl/>
        <w:bidi w:val="0"/>
        <w:spacing w:before="0" w:after="200"/>
        <w:jc w:val="both"/>
        <w:rPr/>
      </w:pPr>
      <w:r>
        <w:rPr>
          <w:rStyle w:val="FootnoteCharacters"/>
        </w:rPr>
        <w:footnoteRef/>
      </w:r>
      <w:r>
        <w:rPr/>
        <w:t xml:space="preserve"> </w:t>
      </w:r>
      <w:r>
        <w:rPr/>
        <w:t>Such as the Data Protection Agreement that we previously sent.</w:t>
      </w:r>
    </w:p>
  </w:footnote>
  <w:footnote w:id="3">
    <w:p>
      <w:pPr>
        <w:pStyle w:val="FootnoteText"/>
        <w:widowControl/>
        <w:bidi w:val="0"/>
        <w:spacing w:before="0" w:after="200"/>
        <w:jc w:val="both"/>
        <w:rPr/>
      </w:pPr>
      <w:r>
        <w:rPr>
          <w:rStyle w:val="FootnoteCharacters"/>
        </w:rPr>
        <w:footnoteRef/>
      </w:r>
      <w:r>
        <w:rPr/>
        <w:t xml:space="preserve"> </w:t>
      </w:r>
      <w:r>
        <w:rPr/>
        <w:t xml:space="preserve">Indeed, the European Commission affirmed as much in Commission decision C(2000) 2441 when it provided that it would consider an organization that complied with the safe harbor framework to have attained an “adequate level of protection” regarding its transfer of data from the European Union to the States.  The Commission’s recognition of the U.S. safe harbor in this respect does not, however, remove the European Union entity’s responsibility under such member state’s law relating to the gathering of information </w:t>
      </w:r>
      <w:r>
        <w:rPr>
          <w:i/>
        </w:rPr>
        <w:t>prior to</w:t>
      </w:r>
      <w:r>
        <w:rPr/>
        <w:t xml:space="preserve"> its transfer.</w:t>
      </w:r>
    </w:p>
  </w:footnote>
  <w:footnote w:id="4">
    <w:p>
      <w:pPr>
        <w:pStyle w:val="FLI5LftInd0"/>
        <w:ind w:hanging="0" w:end="0"/>
        <w:rPr/>
      </w:pPr>
      <w:r>
        <w:rPr>
          <w:rStyle w:val="FootnoteCharacters"/>
        </w:rPr>
        <w:footnoteRef/>
      </w:r>
      <w:r>
        <w:rPr>
          <w:sz w:val="20"/>
        </w:rPr>
        <w:t xml:space="preserve"> </w:t>
      </w:r>
      <w:r>
        <w:rPr>
          <w:sz w:val="20"/>
        </w:rPr>
        <w:t>Examples of these measures may include: disclosing such information only on a “need-to-know basis”; utilizing secured socket layered encryption; creating password protection for any files containing personal data; disseminating the information solely in read-only format.</w:t>
      </w:r>
    </w:p>
    <w:p>
      <w:pPr>
        <w:pStyle w:val="FootnoteText"/>
        <w:spacing w:before="0" w:after="200"/>
        <w:rPr>
          <w:sz w:val="20"/>
        </w:rPr>
      </w:pPr>
      <w:r>
        <w:rPr>
          <w:sz w:val="20"/>
        </w:rPr>
      </w:r>
    </w:p>
  </w:footnote>
  <w:footnote w:id="5">
    <w:p>
      <w:pPr>
        <w:pStyle w:val="FLI5LftInd0"/>
        <w:ind w:hanging="0" w:end="0"/>
        <w:rPr/>
      </w:pPr>
      <w:r>
        <w:rPr>
          <w:rStyle w:val="FootnoteCharacters"/>
        </w:rPr>
        <w:footnoteRef/>
      </w:r>
      <w:r>
        <w:rPr>
          <w:sz w:val="20"/>
        </w:rPr>
        <w:t xml:space="preserve"> </w:t>
      </w:r>
      <w:r>
        <w:rPr>
          <w:sz w:val="20"/>
        </w:rPr>
        <w:t>The FAQs that accompany the safe harbor principles make clear that organizations that intend for human resources data to be transferred from a European Union member state to the United States must cooperate with European Union Data Protection Authorities (“DPAs”).  In the event you decide that Enron will register under the safe harbor framework, Enron should, in its certification letter to the Department of Commerce (not the Policy itself), indicate that it elects to satisfy points (a) and (c) of the Enforcement Principle by committing to cooperate with the DPAs.  Such certification letter should also include statements that Enron will (i) “cooperate with the DPAs in the investigations and resolutions of complaints brought under the safe harbor”; and (ii) comply with advice given by the DPAs regarding specific remedial action that should be taken in connection with the non-compliance with the principles.</w:t>
      </w:r>
    </w:p>
    <w:p>
      <w:pPr>
        <w:pStyle w:val="FootnoteText"/>
        <w:spacing w:before="0" w:after="200"/>
        <w:rPr>
          <w:sz w:val="20"/>
        </w:rPr>
      </w:pPr>
      <w:r>
        <w:rPr>
          <w:sz w:val="20"/>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next w:val="Normal"/>
    <w:qFormat/>
    <w:pPr>
      <w:keepNext w:val="true"/>
      <w:widowControl/>
      <w:numPr>
        <w:ilvl w:val="0"/>
        <w:numId w:val="1"/>
      </w:numPr>
      <w:bidi w:val="0"/>
      <w:jc w:val="both"/>
      <w:outlineLvl w:val="0"/>
    </w:pPr>
    <w:rPr>
      <w:rFonts w:ascii="Times New Roman" w:hAnsi="Times New Roman" w:eastAsia="Times New Roman" w:cs="Times New Roman"/>
      <w:color w:val="auto"/>
      <w:sz w:val="24"/>
      <w:szCs w:val="20"/>
      <w:lang w:val="en-US" w:eastAsia="zh-CN" w:bidi="hi-IN"/>
    </w:rPr>
  </w:style>
  <w:style w:type="paragraph" w:styleId="Heading2">
    <w:name w:val="heading 2"/>
    <w:next w:val="Normal"/>
    <w:qFormat/>
    <w:pPr>
      <w:keepNext w:val="true"/>
      <w:widowControl/>
      <w:numPr>
        <w:ilvl w:val="1"/>
        <w:numId w:val="1"/>
      </w:numPr>
      <w:bidi w:val="0"/>
      <w:jc w:val="both"/>
      <w:outlineLvl w:val="1"/>
    </w:pPr>
    <w:rPr>
      <w:rFonts w:ascii="Times New Roman" w:hAnsi="Times New Roman" w:eastAsia="Times New Roman" w:cs="Times New Roman"/>
      <w:color w:val="auto"/>
      <w:sz w:val="24"/>
      <w:szCs w:val="20"/>
      <w:lang w:val="en-US" w:eastAsia="zh-CN" w:bidi="hi-IN"/>
    </w:rPr>
  </w:style>
  <w:style w:type="paragraph" w:styleId="Heading3">
    <w:name w:val="heading 3"/>
    <w:next w:val="Normal"/>
    <w:qFormat/>
    <w:pPr>
      <w:keepNext w:val="true"/>
      <w:widowControl/>
      <w:numPr>
        <w:ilvl w:val="2"/>
        <w:numId w:val="1"/>
      </w:numPr>
      <w:bidi w:val="0"/>
      <w:jc w:val="both"/>
      <w:outlineLvl w:val="2"/>
    </w:pPr>
    <w:rPr>
      <w:rFonts w:ascii="Times New Roman" w:hAnsi="Times New Roman" w:eastAsia="Times New Roman" w:cs="Times New Roman"/>
      <w:color w:val="auto"/>
      <w:sz w:val="24"/>
      <w:szCs w:val="20"/>
      <w:lang w:val="en-US" w:eastAsia="zh-CN" w:bidi="hi-IN"/>
    </w:rPr>
  </w:style>
  <w:style w:type="paragraph" w:styleId="Heading4">
    <w:name w:val="heading 4"/>
    <w:next w:val="Normal"/>
    <w:qFormat/>
    <w:pPr>
      <w:keepNext w:val="true"/>
      <w:widowControl/>
      <w:numPr>
        <w:ilvl w:val="3"/>
        <w:numId w:val="1"/>
      </w:numPr>
      <w:bidi w:val="0"/>
      <w:jc w:val="both"/>
      <w:outlineLvl w:val="3"/>
    </w:pPr>
    <w:rPr>
      <w:rFonts w:ascii="Times New Roman" w:hAnsi="Times New Roman" w:eastAsia="Times New Roman" w:cs="Times New Roman"/>
      <w:color w:val="auto"/>
      <w:sz w:val="24"/>
      <w:szCs w:val="20"/>
      <w:lang w:val="en-US" w:eastAsia="zh-CN" w:bidi="hi-IN"/>
    </w:rPr>
  </w:style>
  <w:style w:type="paragraph" w:styleId="Heading5">
    <w:name w:val="heading 5"/>
    <w:next w:val="Normal"/>
    <w:qFormat/>
    <w:pPr>
      <w:keepNext w:val="true"/>
      <w:widowControl/>
      <w:numPr>
        <w:ilvl w:val="4"/>
        <w:numId w:val="1"/>
      </w:numPr>
      <w:bidi w:val="0"/>
      <w:jc w:val="both"/>
      <w:outlineLvl w:val="4"/>
    </w:pPr>
    <w:rPr>
      <w:rFonts w:ascii="Times New Roman" w:hAnsi="Times New Roman" w:eastAsia="Times New Roman" w:cs="Times New Roman"/>
      <w:color w:val="auto"/>
      <w:sz w:val="24"/>
      <w:szCs w:val="20"/>
      <w:lang w:val="en-US" w:eastAsia="zh-CN" w:bidi="hi-IN"/>
    </w:rPr>
  </w:style>
  <w:style w:type="paragraph" w:styleId="Heading6">
    <w:name w:val="heading 6"/>
    <w:next w:val="Normal"/>
    <w:qFormat/>
    <w:pPr>
      <w:keepNext w:val="true"/>
      <w:widowControl/>
      <w:numPr>
        <w:ilvl w:val="5"/>
        <w:numId w:val="1"/>
      </w:numPr>
      <w:bidi w:val="0"/>
      <w:jc w:val="both"/>
      <w:outlineLvl w:val="5"/>
    </w:pPr>
    <w:rPr>
      <w:rFonts w:ascii="Times New Roman" w:hAnsi="Times New Roman" w:eastAsia="Times New Roman" w:cs="Times New Roman"/>
      <w:color w:val="auto"/>
      <w:sz w:val="24"/>
      <w:szCs w:val="20"/>
      <w:lang w:val="en-US" w:eastAsia="zh-CN" w:bidi="hi-IN"/>
    </w:rPr>
  </w:style>
  <w:style w:type="paragraph" w:styleId="Heading7">
    <w:name w:val="heading 7"/>
    <w:next w:val="Normal"/>
    <w:qFormat/>
    <w:pPr>
      <w:keepNext w:val="true"/>
      <w:widowControl/>
      <w:numPr>
        <w:ilvl w:val="6"/>
        <w:numId w:val="1"/>
      </w:numPr>
      <w:bidi w:val="0"/>
      <w:jc w:val="both"/>
      <w:outlineLvl w:val="6"/>
    </w:pPr>
    <w:rPr>
      <w:rFonts w:ascii="Times New Roman" w:hAnsi="Times New Roman" w:eastAsia="Times New Roman" w:cs="Times New Roman"/>
      <w:color w:val="auto"/>
      <w:sz w:val="24"/>
      <w:szCs w:val="20"/>
      <w:lang w:val="en-US" w:eastAsia="zh-CN" w:bidi="hi-IN"/>
    </w:rPr>
  </w:style>
  <w:style w:type="paragraph" w:styleId="Heading8">
    <w:name w:val="heading 8"/>
    <w:next w:val="Normal"/>
    <w:qFormat/>
    <w:pPr>
      <w:keepNext w:val="true"/>
      <w:widowControl/>
      <w:numPr>
        <w:ilvl w:val="7"/>
        <w:numId w:val="1"/>
      </w:numPr>
      <w:bidi w:val="0"/>
      <w:jc w:val="both"/>
      <w:outlineLvl w:val="7"/>
    </w:pPr>
    <w:rPr>
      <w:rFonts w:ascii="Times New Roman" w:hAnsi="Times New Roman" w:eastAsia="Times New Roman" w:cs="Times New Roman"/>
      <w:color w:val="auto"/>
      <w:sz w:val="24"/>
      <w:szCs w:val="20"/>
      <w:lang w:val="en-US" w:eastAsia="zh-CN" w:bidi="hi-IN"/>
    </w:rPr>
  </w:style>
  <w:style w:type="paragraph" w:styleId="Heading9">
    <w:name w:val="heading 9"/>
    <w:next w:val="Normal"/>
    <w:qFormat/>
    <w:pPr>
      <w:keepNext w:val="true"/>
      <w:widowControl/>
      <w:numPr>
        <w:ilvl w:val="8"/>
        <w:numId w:val="1"/>
      </w:numPr>
      <w:bidi w:val="0"/>
      <w:jc w:val="both"/>
      <w:outlineLvl w:val="8"/>
    </w:pPr>
    <w:rPr>
      <w:rFonts w:ascii="Times New Roman" w:hAnsi="Times New Roman" w:eastAsia="Times New Roman" w:cs="Times New Roman"/>
      <w:color w:val="auto"/>
      <w:sz w:val="24"/>
      <w:szCs w:val="20"/>
      <w:lang w:val="en-US" w:eastAsia="zh-CN" w:bidi="hi-I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BoldCaps">
    <w:name w:val="Bold/Caps"/>
    <w:basedOn w:val="DefaultParagraphFont"/>
    <w:qFormat/>
    <w:rPr>
      <w:b/>
      <w:caps/>
    </w:rPr>
  </w:style>
  <w:style w:type="character" w:styleId="BoldUnd">
    <w:name w:val="Bold/Und"/>
    <w:basedOn w:val="DefaultParagraphFont"/>
    <w:qFormat/>
    <w:rPr>
      <w:b/>
      <w:u w:val="single"/>
    </w:rPr>
  </w:style>
  <w:style w:type="character" w:styleId="CapsUnd">
    <w:name w:val="Caps/Und"/>
    <w:basedOn w:val="DefaultParagraphFont"/>
    <w:qFormat/>
    <w:rPr>
      <w:caps/>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spacing w:before="120" w:after="120"/>
      <w:jc w:val="both"/>
    </w:pPr>
    <w:rPr>
      <w:rFonts w:ascii="Times New Roman" w:hAnsi="Times New Roman" w:cs="Times New Roman"/>
      <w:b/>
      <w:sz w:val="20"/>
    </w:rPr>
  </w:style>
  <w:style w:type="paragraph" w:styleId="Index">
    <w:name w:val="Index"/>
    <w:basedOn w:val="Normal"/>
    <w:qFormat/>
    <w:pPr>
      <w:suppressLineNumbers/>
    </w:pPr>
    <w:rPr>
      <w:rFonts w:cs="NotoSans NF"/>
    </w:rPr>
  </w:style>
  <w:style w:type="paragraph" w:styleId="quote">
    <w:name w:val="quote"/>
    <w:basedOn w:val="Normal"/>
    <w:next w:val="Normal"/>
    <w:qFormat/>
    <w:pPr>
      <w:ind w:hanging="0" w:start="720" w:end="720"/>
    </w:pPr>
    <w:rPr/>
  </w:style>
  <w:style w:type="paragraph" w:styleId="Quote1">
    <w:name w:val="Quote1"/>
    <w:next w:val="Normal"/>
    <w:qFormat/>
    <w:pPr>
      <w:widowControl/>
      <w:bidi w:val="0"/>
      <w:spacing w:before="0" w:after="240"/>
      <w:ind w:hanging="0" w:start="720" w:end="720"/>
      <w:jc w:val="both"/>
    </w:pPr>
    <w:rPr>
      <w:rFonts w:ascii="Times New Roman" w:hAnsi="Times New Roman" w:eastAsia="Times New Roman" w:cs="Times New Roman"/>
      <w:color w:val="auto"/>
      <w:sz w:val="24"/>
      <w:szCs w:val="20"/>
      <w:lang w:val="en-US" w:eastAsia="zh-CN" w:bidi="hi-I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pPr>
      <w:widowControl/>
      <w:tabs>
        <w:tab w:val="clear" w:pos="720"/>
        <w:tab w:val="center" w:pos="4320" w:leader="none"/>
        <w:tab w:val="right" w:pos="9360" w:leader="none"/>
      </w:tabs>
      <w:bidi w:val="0"/>
      <w:jc w:val="both"/>
    </w:pPr>
    <w:rPr>
      <w:rFonts w:ascii="Times New Roman" w:hAnsi="Times New Roman" w:eastAsia="Times New Roman" w:cs="Times New Roman"/>
      <w:color w:val="auto"/>
      <w:sz w:val="24"/>
      <w:szCs w:val="20"/>
      <w:lang w:val="en-US" w:eastAsia="zh-CN" w:bidi="hi-IN"/>
    </w:rPr>
  </w:style>
  <w:style w:type="paragraph" w:styleId="Footer">
    <w:name w:val="footer"/>
    <w:pPr>
      <w:widowControl/>
      <w:tabs>
        <w:tab w:val="clear" w:pos="720"/>
        <w:tab w:val="center" w:pos="4320" w:leader="none"/>
        <w:tab w:val="right" w:pos="9360" w:leader="none"/>
      </w:tabs>
      <w:bidi w:val="0"/>
      <w:jc w:val="both"/>
    </w:pPr>
    <w:rPr>
      <w:rFonts w:ascii="Times New Roman" w:hAnsi="Times New Roman" w:eastAsia="Times New Roman" w:cs="Times New Roman"/>
      <w:color w:val="auto"/>
      <w:sz w:val="24"/>
      <w:szCs w:val="20"/>
      <w:lang w:val="en-US" w:eastAsia="zh-CN" w:bidi="hi-IN"/>
    </w:rPr>
  </w:style>
  <w:style w:type="paragraph" w:styleId="TOC1Center">
    <w:name w:val="@TOC1Center"/>
    <w:next w:val="Normal"/>
    <w:qFormat/>
    <w:pPr>
      <w:keepNext w:val="true"/>
      <w:widowControl/>
      <w:bidi w:val="0"/>
      <w:spacing w:before="0" w:after="240"/>
      <w:jc w:val="center"/>
      <w:outlineLvl w:val="0"/>
    </w:pPr>
    <w:rPr>
      <w:rFonts w:ascii="Times New Roman" w:hAnsi="Times New Roman" w:eastAsia="Times New Roman" w:cs="Times New Roman"/>
      <w:caps/>
      <w:color w:val="auto"/>
      <w:sz w:val="24"/>
      <w:szCs w:val="20"/>
      <w:lang w:val="en-US" w:eastAsia="zh-CN" w:bidi="hi-IN"/>
    </w:rPr>
  </w:style>
  <w:style w:type="paragraph" w:styleId="TOC1Left">
    <w:name w:val="@TOC1Left"/>
    <w:qFormat/>
    <w:pPr>
      <w:keepNext w:val="true"/>
      <w:widowControl/>
      <w:bidi w:val="0"/>
      <w:spacing w:before="0" w:after="240"/>
      <w:jc w:val="both"/>
      <w:outlineLvl w:val="0"/>
    </w:pPr>
    <w:rPr>
      <w:rFonts w:ascii="Times New Roman" w:hAnsi="Times New Roman" w:eastAsia="Times New Roman" w:cs="Times New Roman"/>
      <w:color w:val="auto"/>
      <w:sz w:val="24"/>
      <w:szCs w:val="20"/>
      <w:lang w:val="en-US" w:eastAsia="zh-CN" w:bidi="hi-IN"/>
    </w:rPr>
  </w:style>
  <w:style w:type="paragraph" w:styleId="TOC2Ind1">
    <w:name w:val="@TOC2Ind1"/>
    <w:qFormat/>
    <w:pPr>
      <w:widowControl/>
      <w:tabs>
        <w:tab w:val="left" w:pos="720" w:leader="none"/>
      </w:tabs>
      <w:bidi w:val="0"/>
      <w:spacing w:before="0" w:after="240"/>
      <w:ind w:hanging="720" w:start="720" w:end="0"/>
      <w:jc w:val="both"/>
      <w:outlineLvl w:val="1"/>
    </w:pPr>
    <w:rPr>
      <w:rFonts w:ascii="Times New Roman" w:hAnsi="Times New Roman" w:eastAsia="Times New Roman" w:cs="Times New Roman"/>
      <w:color w:val="auto"/>
      <w:sz w:val="24"/>
      <w:szCs w:val="20"/>
      <w:lang w:val="en-US" w:eastAsia="zh-CN" w:bidi="hi-IN"/>
    </w:rPr>
  </w:style>
  <w:style w:type="paragraph" w:styleId="TOC2Tab1">
    <w:name w:val="@TOC2Tab1"/>
    <w:qFormat/>
    <w:pPr>
      <w:widowControl/>
      <w:tabs>
        <w:tab w:val="left" w:pos="720" w:leader="none"/>
      </w:tabs>
      <w:bidi w:val="0"/>
      <w:spacing w:before="0" w:after="240"/>
      <w:ind w:firstLine="720" w:start="0" w:end="0"/>
      <w:jc w:val="both"/>
      <w:outlineLvl w:val="1"/>
    </w:pPr>
    <w:rPr>
      <w:rFonts w:ascii="Times New Roman" w:hAnsi="Times New Roman" w:eastAsia="Times New Roman" w:cs="Times New Roman"/>
      <w:color w:val="auto"/>
      <w:spacing w:val="2"/>
      <w:sz w:val="24"/>
      <w:szCs w:val="20"/>
      <w:lang w:val="en-US" w:eastAsia="zh-CN" w:bidi="hi-IN"/>
    </w:rPr>
  </w:style>
  <w:style w:type="paragraph" w:styleId="TOC3Ind2">
    <w:name w:val="@TOC3Ind2"/>
    <w:qFormat/>
    <w:pPr>
      <w:widowControl/>
      <w:tabs>
        <w:tab w:val="clear" w:pos="720"/>
        <w:tab w:val="left" w:pos="1440" w:leader="none"/>
      </w:tabs>
      <w:bidi w:val="0"/>
      <w:spacing w:before="0" w:after="240"/>
      <w:ind w:hanging="720" w:start="1440" w:end="0"/>
      <w:jc w:val="both"/>
      <w:outlineLvl w:val="2"/>
    </w:pPr>
    <w:rPr>
      <w:rFonts w:ascii="Times New Roman" w:hAnsi="Times New Roman" w:eastAsia="Times New Roman" w:cs="Times New Roman"/>
      <w:color w:val="auto"/>
      <w:sz w:val="24"/>
      <w:szCs w:val="20"/>
      <w:lang w:val="en-US" w:eastAsia="zh-CN" w:bidi="hi-IN"/>
    </w:rPr>
  </w:style>
  <w:style w:type="paragraph" w:styleId="TOC3Tab2">
    <w:name w:val="@TOC3Tab2"/>
    <w:qFormat/>
    <w:pPr>
      <w:widowControl/>
      <w:tabs>
        <w:tab w:val="clear" w:pos="720"/>
        <w:tab w:val="left" w:pos="1440" w:leader="none"/>
      </w:tabs>
      <w:bidi w:val="0"/>
      <w:spacing w:before="0" w:after="240"/>
      <w:ind w:firstLine="720" w:start="720" w:end="0"/>
      <w:jc w:val="both"/>
      <w:outlineLvl w:val="2"/>
    </w:pPr>
    <w:rPr>
      <w:rFonts w:ascii="Times New Roman" w:hAnsi="Times New Roman" w:eastAsia="Times New Roman" w:cs="Times New Roman"/>
      <w:color w:val="auto"/>
      <w:sz w:val="24"/>
      <w:szCs w:val="20"/>
      <w:lang w:val="en-US" w:eastAsia="zh-CN" w:bidi="hi-IN"/>
    </w:rPr>
  </w:style>
  <w:style w:type="paragraph" w:styleId="TOC4Ind3">
    <w:name w:val="@TOC4Ind3"/>
    <w:qFormat/>
    <w:pPr>
      <w:widowControl/>
      <w:tabs>
        <w:tab w:val="clear" w:pos="720"/>
        <w:tab w:val="left" w:pos="2160" w:leader="none"/>
      </w:tabs>
      <w:bidi w:val="0"/>
      <w:spacing w:before="0" w:after="240"/>
      <w:ind w:hanging="720" w:start="2160" w:end="0"/>
      <w:jc w:val="both"/>
      <w:outlineLvl w:val="3"/>
    </w:pPr>
    <w:rPr>
      <w:rFonts w:ascii="Times New Roman" w:hAnsi="Times New Roman" w:eastAsia="Times New Roman" w:cs="Times New Roman"/>
      <w:color w:val="auto"/>
      <w:sz w:val="24"/>
      <w:szCs w:val="20"/>
      <w:lang w:val="en-US" w:eastAsia="zh-CN" w:bidi="hi-IN"/>
    </w:rPr>
  </w:style>
  <w:style w:type="paragraph" w:styleId="TOC4Tab3">
    <w:name w:val="@TOC4Tab3"/>
    <w:qFormat/>
    <w:pPr>
      <w:widowControl/>
      <w:tabs>
        <w:tab w:val="clear" w:pos="720"/>
        <w:tab w:val="left" w:pos="2160" w:leader="none"/>
      </w:tabs>
      <w:bidi w:val="0"/>
      <w:spacing w:before="0" w:after="240"/>
      <w:ind w:firstLine="720" w:start="1440" w:end="0"/>
      <w:jc w:val="both"/>
      <w:outlineLvl w:val="3"/>
    </w:pPr>
    <w:rPr>
      <w:rFonts w:ascii="Times New Roman" w:hAnsi="Times New Roman" w:eastAsia="Times New Roman" w:cs="Times New Roman"/>
      <w:color w:val="auto"/>
      <w:sz w:val="24"/>
      <w:szCs w:val="20"/>
      <w:lang w:val="en-US" w:eastAsia="zh-CN" w:bidi="hi-IN"/>
    </w:rPr>
  </w:style>
  <w:style w:type="paragraph" w:styleId="EndnoteText10a">
    <w:name w:val="Endnote Text 10a"/>
    <w:qFormat/>
    <w:pPr>
      <w:widowControl/>
      <w:tabs>
        <w:tab w:val="clear" w:pos="720"/>
        <w:tab w:val="left" w:pos="576" w:leader="none"/>
      </w:tabs>
      <w:bidi w:val="0"/>
      <w:spacing w:before="0" w:after="200"/>
      <w:jc w:val="both"/>
    </w:pPr>
    <w:rPr>
      <w:rFonts w:ascii="Times New Roman" w:hAnsi="Times New Roman" w:eastAsia="Times New Roman" w:cs="Times New Roman"/>
      <w:color w:val="auto"/>
      <w:sz w:val="20"/>
      <w:szCs w:val="20"/>
      <w:lang w:val="en-US" w:eastAsia="zh-CN" w:bidi="hi-IN"/>
    </w:rPr>
  </w:style>
  <w:style w:type="paragraph" w:styleId="EndnoteText10b">
    <w:name w:val="Endnote Text 10b"/>
    <w:basedOn w:val="EndnoteText10a"/>
    <w:qFormat/>
    <w:pPr>
      <w:ind w:hanging="576" w:start="576" w:end="0"/>
    </w:pPr>
    <w:rPr/>
  </w:style>
  <w:style w:type="paragraph" w:styleId="EndnoteText11a">
    <w:name w:val="Endnote Text 11a"/>
    <w:basedOn w:val="EndnoteText10a"/>
    <w:qFormat/>
    <w:pPr>
      <w:spacing w:before="0" w:after="220"/>
    </w:pPr>
    <w:rPr>
      <w:sz w:val="22"/>
    </w:rPr>
  </w:style>
  <w:style w:type="paragraph" w:styleId="EndnoteText11b">
    <w:name w:val="Endnote Text 11b"/>
    <w:basedOn w:val="EndnoteText10b"/>
    <w:qFormat/>
    <w:pPr>
      <w:spacing w:before="0" w:after="220"/>
    </w:pPr>
    <w:rPr>
      <w:sz w:val="22"/>
    </w:rPr>
  </w:style>
  <w:style w:type="paragraph" w:styleId="EndnoteText12a">
    <w:name w:val="Endnote Text 12a"/>
    <w:basedOn w:val="EndnoteText11a"/>
    <w:qFormat/>
    <w:pPr>
      <w:spacing w:before="0" w:after="240"/>
    </w:pPr>
    <w:rPr/>
  </w:style>
  <w:style w:type="paragraph" w:styleId="EndnoteText12b">
    <w:name w:val="Endnote Text 12b"/>
    <w:basedOn w:val="EndnoteText11a"/>
    <w:qFormat/>
    <w:pPr>
      <w:spacing w:before="0" w:after="240"/>
      <w:ind w:hanging="576" w:start="576" w:end="0"/>
    </w:pPr>
    <w:rPr/>
  </w:style>
  <w:style w:type="paragraph" w:styleId="FLI5LftInd0">
    <w:name w:val="FLI .5&quot;/Lft Ind .0&quot;"/>
    <w:qFormat/>
    <w:pPr>
      <w:widowControl/>
      <w:bidi w:val="0"/>
      <w:spacing w:before="0" w:after="240"/>
      <w:ind w:firstLine="720" w:start="0" w:end="0"/>
      <w:jc w:val="both"/>
    </w:pPr>
    <w:rPr>
      <w:rFonts w:ascii="Times New Roman" w:hAnsi="Times New Roman" w:eastAsia="Times New Roman" w:cs="Times New Roman"/>
      <w:color w:val="auto"/>
      <w:sz w:val="24"/>
      <w:szCs w:val="20"/>
      <w:lang w:val="en-US" w:eastAsia="zh-CN" w:bidi="hi-IN"/>
    </w:rPr>
  </w:style>
  <w:style w:type="paragraph" w:styleId="FLI5LftInd5">
    <w:name w:val="FLI .5&quot;/Lft Ind .5&quot;"/>
    <w:next w:val="Normal"/>
    <w:qFormat/>
    <w:pPr>
      <w:widowControl/>
      <w:bidi w:val="0"/>
      <w:spacing w:before="0" w:after="240"/>
      <w:ind w:firstLine="720" w:start="720" w:end="0"/>
      <w:jc w:val="both"/>
    </w:pPr>
    <w:rPr>
      <w:rFonts w:ascii="Times New Roman" w:hAnsi="Times New Roman" w:eastAsia="Times New Roman" w:cs="Times New Roman"/>
      <w:color w:val="auto"/>
      <w:sz w:val="24"/>
      <w:szCs w:val="20"/>
      <w:lang w:val="en-US" w:eastAsia="zh-CN" w:bidi="hi-IN"/>
    </w:rPr>
  </w:style>
  <w:style w:type="paragraph" w:styleId="FLI5LftInd1">
    <w:name w:val="FLI .5&quot;/Lft Ind 1&quot;"/>
    <w:next w:val="Normal"/>
    <w:qFormat/>
    <w:pPr>
      <w:widowControl/>
      <w:bidi w:val="0"/>
      <w:spacing w:before="0" w:after="240"/>
      <w:ind w:firstLine="720" w:start="1440" w:end="0"/>
      <w:jc w:val="both"/>
    </w:pPr>
    <w:rPr>
      <w:rFonts w:ascii="Times New Roman" w:hAnsi="Times New Roman" w:eastAsia="Times New Roman" w:cs="Times New Roman"/>
      <w:color w:val="auto"/>
      <w:sz w:val="24"/>
      <w:szCs w:val="20"/>
      <w:lang w:val="en-US" w:eastAsia="zh-CN" w:bidi="hi-IN"/>
    </w:rPr>
  </w:style>
  <w:style w:type="paragraph" w:styleId="FLI5LftInd15">
    <w:name w:val="FLI .5&quot;/Lft Ind 1.5&quot;"/>
    <w:next w:val="Normal"/>
    <w:qFormat/>
    <w:pPr>
      <w:widowControl/>
      <w:bidi w:val="0"/>
      <w:spacing w:before="0" w:after="240"/>
      <w:ind w:firstLine="720" w:start="2160" w:end="0"/>
      <w:jc w:val="both"/>
    </w:pPr>
    <w:rPr>
      <w:rFonts w:ascii="Times New Roman" w:hAnsi="Times New Roman" w:eastAsia="Times New Roman" w:cs="Times New Roman"/>
      <w:color w:val="auto"/>
      <w:sz w:val="24"/>
      <w:szCs w:val="20"/>
      <w:lang w:val="en-US" w:eastAsia="zh-CN" w:bidi="hi-IN"/>
    </w:rPr>
  </w:style>
  <w:style w:type="paragraph" w:styleId="FootnoteText">
    <w:name w:val="footnote text"/>
    <w:pPr>
      <w:widowControl/>
      <w:bidi w:val="0"/>
      <w:spacing w:before="0" w:after="200"/>
      <w:jc w:val="both"/>
    </w:pPr>
    <w:rPr>
      <w:rFonts w:ascii="Times New Roman" w:hAnsi="Times New Roman" w:eastAsia="Times New Roman" w:cs="Times New Roman"/>
      <w:color w:val="auto"/>
      <w:sz w:val="20"/>
      <w:szCs w:val="20"/>
      <w:lang w:val="en-US" w:eastAsia="zh-CN" w:bidi="hi-IN"/>
    </w:rPr>
  </w:style>
  <w:style w:type="paragraph" w:styleId="FootnoteText10a">
    <w:name w:val="Footnote Text 10a"/>
    <w:qFormat/>
    <w:pPr>
      <w:widowControl/>
      <w:tabs>
        <w:tab w:val="clear" w:pos="720"/>
        <w:tab w:val="left" w:pos="576" w:leader="none"/>
      </w:tabs>
      <w:bidi w:val="0"/>
      <w:spacing w:before="0" w:after="200"/>
      <w:jc w:val="both"/>
    </w:pPr>
    <w:rPr>
      <w:rFonts w:ascii="Times New Roman" w:hAnsi="Times New Roman" w:eastAsia="Times New Roman" w:cs="Times New Roman"/>
      <w:color w:val="auto"/>
      <w:sz w:val="20"/>
      <w:szCs w:val="20"/>
      <w:lang w:val="en-US" w:eastAsia="zh-CN" w:bidi="hi-IN"/>
    </w:rPr>
  </w:style>
  <w:style w:type="paragraph" w:styleId="FootnoteText10b">
    <w:name w:val="Footnote Text 10b"/>
    <w:basedOn w:val="FootnoteText10a"/>
    <w:qFormat/>
    <w:pPr>
      <w:ind w:hanging="576" w:start="576" w:end="0"/>
    </w:pPr>
    <w:rPr/>
  </w:style>
  <w:style w:type="paragraph" w:styleId="FootnoteText11a">
    <w:name w:val="Footnote Text 11a"/>
    <w:basedOn w:val="FootnoteText10a"/>
    <w:qFormat/>
    <w:pPr>
      <w:spacing w:before="0" w:after="220"/>
    </w:pPr>
    <w:rPr>
      <w:sz w:val="22"/>
    </w:rPr>
  </w:style>
  <w:style w:type="paragraph" w:styleId="FootnoteText11b">
    <w:name w:val="Footnote Text 11b"/>
    <w:basedOn w:val="FootnoteText10b"/>
    <w:qFormat/>
    <w:pPr>
      <w:spacing w:before="0" w:after="220"/>
    </w:pPr>
    <w:rPr>
      <w:sz w:val="22"/>
    </w:rPr>
  </w:style>
  <w:style w:type="paragraph" w:styleId="FootnoteText12a">
    <w:name w:val="Footnote Text 12a"/>
    <w:basedOn w:val="FootnoteText11a"/>
    <w:qFormat/>
    <w:pPr>
      <w:spacing w:before="0" w:after="240"/>
    </w:pPr>
    <w:rPr>
      <w:sz w:val="24"/>
    </w:rPr>
  </w:style>
  <w:style w:type="paragraph" w:styleId="FootnoteText12b">
    <w:name w:val="Footnote Text 12b"/>
    <w:basedOn w:val="FootnoteText11a"/>
    <w:qFormat/>
    <w:pPr>
      <w:spacing w:before="0" w:after="240"/>
    </w:pPr>
    <w:rPr>
      <w:sz w:val="24"/>
    </w:rPr>
  </w:style>
  <w:style w:type="paragraph" w:styleId="HI5LftInd0">
    <w:name w:val="HI .5&quot;/Lft Ind .0&quot;"/>
    <w:next w:val="Normal"/>
    <w:qFormat/>
    <w:pPr>
      <w:widowControl/>
      <w:bidi w:val="0"/>
      <w:spacing w:before="0" w:after="240"/>
      <w:ind w:hanging="720" w:start="720" w:end="0"/>
      <w:jc w:val="both"/>
    </w:pPr>
    <w:rPr>
      <w:rFonts w:ascii="Times New Roman" w:hAnsi="Times New Roman" w:eastAsia="Times New Roman" w:cs="Times New Roman"/>
      <w:color w:val="auto"/>
      <w:sz w:val="24"/>
      <w:szCs w:val="20"/>
      <w:lang w:val="en-US" w:eastAsia="zh-CN" w:bidi="hi-IN"/>
    </w:rPr>
  </w:style>
  <w:style w:type="paragraph" w:styleId="HI5LftInd5">
    <w:name w:val="HI .5&quot;/Lft Ind .5&quot;"/>
    <w:next w:val="Normal"/>
    <w:qFormat/>
    <w:pPr>
      <w:widowControl/>
      <w:bidi w:val="0"/>
      <w:spacing w:before="0" w:after="240"/>
      <w:ind w:hanging="720" w:start="1440" w:end="0"/>
      <w:jc w:val="both"/>
    </w:pPr>
    <w:rPr>
      <w:rFonts w:ascii="Times New Roman" w:hAnsi="Times New Roman" w:eastAsia="Times New Roman" w:cs="Times New Roman"/>
      <w:color w:val="auto"/>
      <w:sz w:val="24"/>
      <w:szCs w:val="20"/>
      <w:lang w:val="en-US" w:eastAsia="zh-CN" w:bidi="hi-IN"/>
    </w:rPr>
  </w:style>
  <w:style w:type="paragraph" w:styleId="HI5LftInd1">
    <w:name w:val="HI .5&quot;/Lft Ind 1&quot;"/>
    <w:next w:val="Normal"/>
    <w:qFormat/>
    <w:pPr>
      <w:widowControl/>
      <w:bidi w:val="0"/>
      <w:spacing w:before="0" w:after="240"/>
      <w:ind w:hanging="720" w:start="2160" w:end="0"/>
      <w:jc w:val="both"/>
    </w:pPr>
    <w:rPr>
      <w:rFonts w:ascii="Times New Roman" w:hAnsi="Times New Roman" w:eastAsia="Times New Roman" w:cs="Times New Roman"/>
      <w:color w:val="auto"/>
      <w:spacing w:val="2"/>
      <w:sz w:val="24"/>
      <w:szCs w:val="20"/>
      <w:lang w:val="en-US" w:eastAsia="zh-CN" w:bidi="hi-IN"/>
    </w:rPr>
  </w:style>
  <w:style w:type="paragraph" w:styleId="HI1LftInd15">
    <w:name w:val="HI 1&quot;/Lft Ind 1.5&quot;"/>
    <w:next w:val="Normal"/>
    <w:qFormat/>
    <w:pPr>
      <w:widowControl/>
      <w:bidi w:val="0"/>
      <w:spacing w:before="0" w:after="240"/>
      <w:ind w:hanging="720" w:start="2880" w:end="0"/>
      <w:jc w:val="both"/>
    </w:pPr>
    <w:rPr>
      <w:rFonts w:ascii="Times New Roman" w:hAnsi="Times New Roman" w:eastAsia="Times New Roman" w:cs="Times New Roman"/>
      <w:color w:val="auto"/>
      <w:sz w:val="24"/>
      <w:szCs w:val="20"/>
      <w:lang w:val="en-US" w:eastAsia="zh-CN" w:bidi="hi-IN"/>
    </w:rPr>
  </w:style>
  <w:style w:type="paragraph" w:styleId="LftInd0">
    <w:name w:val="Lft Ind .0&quot;"/>
    <w:next w:val="Normal"/>
    <w:qFormat/>
    <w:pPr>
      <w:widowControl/>
      <w:bidi w:val="0"/>
      <w:spacing w:before="0" w:after="240"/>
      <w:jc w:val="both"/>
    </w:pPr>
    <w:rPr>
      <w:rFonts w:ascii="Times New Roman" w:hAnsi="Times New Roman" w:eastAsia="Times New Roman" w:cs="Times New Roman"/>
      <w:color w:val="auto"/>
      <w:sz w:val="24"/>
      <w:szCs w:val="20"/>
      <w:lang w:val="en-US" w:eastAsia="zh-CN" w:bidi="hi-IN"/>
    </w:rPr>
  </w:style>
  <w:style w:type="paragraph" w:styleId="LftInd5">
    <w:name w:val="Lft Ind .5&quot;"/>
    <w:next w:val="Normal"/>
    <w:qFormat/>
    <w:pPr>
      <w:widowControl/>
      <w:bidi w:val="0"/>
      <w:spacing w:before="0" w:after="240"/>
      <w:ind w:hanging="0" w:start="720" w:end="0"/>
      <w:jc w:val="both"/>
    </w:pPr>
    <w:rPr>
      <w:rFonts w:ascii="Times New Roman" w:hAnsi="Times New Roman" w:eastAsia="Times New Roman" w:cs="Times New Roman"/>
      <w:color w:val="auto"/>
      <w:sz w:val="24"/>
      <w:szCs w:val="20"/>
      <w:lang w:val="en-US" w:eastAsia="zh-CN" w:bidi="hi-IN"/>
    </w:rPr>
  </w:style>
  <w:style w:type="paragraph" w:styleId="LftInd1">
    <w:name w:val="Lft Ind 1&quot;"/>
    <w:next w:val="Normal"/>
    <w:qFormat/>
    <w:pPr>
      <w:widowControl/>
      <w:bidi w:val="0"/>
      <w:spacing w:before="0" w:after="240"/>
      <w:ind w:hanging="0" w:start="1440" w:end="0"/>
      <w:jc w:val="both"/>
    </w:pPr>
    <w:rPr>
      <w:rFonts w:ascii="Times New Roman" w:hAnsi="Times New Roman" w:eastAsia="Times New Roman" w:cs="Times New Roman"/>
      <w:color w:val="auto"/>
      <w:sz w:val="24"/>
      <w:szCs w:val="20"/>
      <w:lang w:val="en-US" w:eastAsia="zh-CN" w:bidi="hi-IN"/>
    </w:rPr>
  </w:style>
  <w:style w:type="paragraph" w:styleId="LftInd15">
    <w:name w:val="Lft Ind 1.5&quot;"/>
    <w:next w:val="Normal"/>
    <w:qFormat/>
    <w:pPr>
      <w:widowControl/>
      <w:bidi w:val="0"/>
      <w:spacing w:before="0" w:after="240"/>
      <w:ind w:hanging="0" w:start="2160" w:end="0"/>
      <w:jc w:val="both"/>
    </w:pPr>
    <w:rPr>
      <w:rFonts w:ascii="Times New Roman" w:hAnsi="Times New Roman" w:eastAsia="Times New Roman" w:cs="Times New Roman"/>
      <w:color w:val="auto"/>
      <w:sz w:val="24"/>
      <w:szCs w:val="20"/>
      <w:lang w:val="en-US" w:eastAsia="zh-CN" w:bidi="hi-IN"/>
    </w:rPr>
  </w:style>
  <w:style w:type="paragraph" w:styleId="MDCKBasic">
    <w:name w:val="MDCK Basic"/>
    <w:next w:val="Normal"/>
    <w:qFormat/>
    <w:pPr>
      <w:widowControl/>
      <w:bidi w:val="0"/>
      <w:jc w:val="both"/>
    </w:pPr>
    <w:rPr>
      <w:rFonts w:ascii="Times New Roman" w:hAnsi="Times New Roman" w:eastAsia="Times New Roman" w:cs="Times New Roman"/>
      <w:color w:val="auto"/>
      <w:sz w:val="24"/>
      <w:szCs w:val="20"/>
      <w:lang w:val="en-US" w:eastAsia="zh-CN" w:bidi="hi-IN"/>
    </w:rPr>
  </w:style>
  <w:style w:type="paragraph" w:styleId="Quote2">
    <w:name w:val="Quote 2"/>
    <w:basedOn w:val="Quote1"/>
    <w:next w:val="Normal"/>
    <w:qFormat/>
    <w:pPr>
      <w:ind w:hanging="0" w:start="1440" w:end="1440"/>
    </w:pPr>
    <w:rPr/>
  </w:style>
  <w:style w:type="paragraph" w:styleId="TOC1">
    <w:name w:val="toc 1"/>
    <w:next w:val="Normal"/>
    <w:pPr>
      <w:widowControl/>
      <w:tabs>
        <w:tab w:val="left" w:pos="720" w:leader="none"/>
        <w:tab w:val="right" w:pos="9350" w:leader="dot"/>
      </w:tabs>
      <w:bidi w:val="0"/>
      <w:spacing w:before="240" w:after="0"/>
      <w:jc w:val="both"/>
      <w:outlineLvl w:val="0"/>
    </w:pPr>
    <w:rPr>
      <w:rFonts w:ascii="Times New Roman" w:hAnsi="Times New Roman" w:eastAsia="Times New Roman" w:cs="Times New Roman"/>
      <w:color w:val="auto"/>
      <w:sz w:val="24"/>
      <w:szCs w:val="20"/>
      <w:lang w:val="en-US" w:eastAsia="zh-CN" w:bidi="hi-IN"/>
    </w:rPr>
  </w:style>
  <w:style w:type="paragraph" w:styleId="TOC2">
    <w:name w:val="toc 2"/>
    <w:next w:val="Normal"/>
    <w:pPr>
      <w:widowControl/>
      <w:tabs>
        <w:tab w:val="clear" w:pos="720"/>
        <w:tab w:val="left" w:pos="1080" w:leader="none"/>
        <w:tab w:val="right" w:pos="9360" w:leader="dot"/>
      </w:tabs>
      <w:bidi w:val="0"/>
      <w:ind w:hanging="0" w:start="360" w:end="0"/>
      <w:jc w:val="both"/>
      <w:outlineLvl w:val="1"/>
    </w:pPr>
    <w:rPr>
      <w:rFonts w:ascii="Times New Roman" w:hAnsi="Times New Roman" w:eastAsia="Times New Roman" w:cs="Times New Roman"/>
      <w:color w:val="auto"/>
      <w:sz w:val="24"/>
      <w:szCs w:val="20"/>
      <w:lang w:val="en-US" w:eastAsia="zh-CN" w:bidi="hi-IN"/>
    </w:rPr>
  </w:style>
  <w:style w:type="paragraph" w:styleId="TOC3">
    <w:name w:val="toc 3"/>
    <w:next w:val="Normal"/>
    <w:pPr>
      <w:widowControl/>
      <w:tabs>
        <w:tab w:val="clear" w:pos="720"/>
        <w:tab w:val="left" w:pos="1440" w:leader="none"/>
        <w:tab w:val="right" w:pos="9360" w:leader="dot"/>
      </w:tabs>
      <w:bidi w:val="0"/>
      <w:ind w:hanging="0" w:start="720" w:end="0"/>
      <w:jc w:val="both"/>
      <w:outlineLvl w:val="2"/>
    </w:pPr>
    <w:rPr>
      <w:rFonts w:ascii="Times New Roman" w:hAnsi="Times New Roman" w:eastAsia="Times New Roman" w:cs="Times New Roman"/>
      <w:color w:val="auto"/>
      <w:sz w:val="24"/>
      <w:szCs w:val="20"/>
      <w:lang w:val="en-US" w:eastAsia="zh-CN" w:bidi="hi-IN"/>
    </w:rPr>
  </w:style>
  <w:style w:type="paragraph" w:styleId="TOC4">
    <w:name w:val="toc 4"/>
    <w:next w:val="Normal"/>
    <w:pPr>
      <w:widowControl/>
      <w:tabs>
        <w:tab w:val="clear" w:pos="720"/>
        <w:tab w:val="left" w:pos="1800" w:leader="none"/>
        <w:tab w:val="right" w:pos="9360" w:leader="dot"/>
      </w:tabs>
      <w:bidi w:val="0"/>
      <w:ind w:hanging="0" w:start="1080" w:end="0"/>
      <w:jc w:val="both"/>
      <w:outlineLvl w:val="3"/>
    </w:pPr>
    <w:rPr>
      <w:rFonts w:ascii="Times New Roman" w:hAnsi="Times New Roman" w:eastAsia="Times New Roman" w:cs="Times New Roman"/>
      <w:color w:val="auto"/>
      <w:sz w:val="24"/>
      <w:szCs w:val="20"/>
      <w:lang w:val="en-US" w:eastAsia="zh-CN" w:bidi="hi-IN"/>
    </w:rPr>
  </w:style>
  <w:style w:type="paragraph" w:styleId="TOC5">
    <w:name w:val="toc 5"/>
    <w:next w:val="Normal"/>
    <w:pPr>
      <w:widowControl/>
      <w:tabs>
        <w:tab w:val="clear" w:pos="720"/>
        <w:tab w:val="left" w:pos="2160" w:leader="none"/>
        <w:tab w:val="right" w:pos="9360" w:leader="dot"/>
      </w:tabs>
      <w:bidi w:val="0"/>
      <w:ind w:hanging="0" w:start="1440" w:end="0"/>
      <w:jc w:val="both"/>
      <w:outlineLvl w:val="4"/>
    </w:pPr>
    <w:rPr>
      <w:rFonts w:ascii="Times New Roman" w:hAnsi="Times New Roman" w:eastAsia="Times New Roman" w:cs="Times New Roman"/>
      <w:color w:val="auto"/>
      <w:sz w:val="24"/>
      <w:szCs w:val="20"/>
      <w:lang w:val="en-US" w:eastAsia="zh-CN" w:bidi="hi-IN"/>
    </w:rPr>
  </w:style>
  <w:style w:type="paragraph" w:styleId="TOC6">
    <w:name w:val="toc 6"/>
    <w:next w:val="Normal"/>
    <w:pPr>
      <w:widowControl/>
      <w:tabs>
        <w:tab w:val="clear" w:pos="720"/>
        <w:tab w:val="left" w:pos="2520" w:leader="none"/>
        <w:tab w:val="right" w:pos="9360" w:leader="dot"/>
      </w:tabs>
      <w:bidi w:val="0"/>
      <w:ind w:hanging="0" w:start="1800" w:end="0"/>
      <w:jc w:val="both"/>
      <w:outlineLvl w:val="5"/>
    </w:pPr>
    <w:rPr>
      <w:rFonts w:ascii="Times New Roman" w:hAnsi="Times New Roman" w:eastAsia="Times New Roman" w:cs="Times New Roman"/>
      <w:color w:val="auto"/>
      <w:sz w:val="24"/>
      <w:szCs w:val="20"/>
      <w:lang w:val="en-US" w:eastAsia="zh-CN" w:bidi="hi-IN"/>
    </w:rPr>
  </w:style>
  <w:style w:type="paragraph" w:styleId="TOC7">
    <w:name w:val="toc 7"/>
    <w:next w:val="Normal"/>
    <w:pPr>
      <w:widowControl/>
      <w:tabs>
        <w:tab w:val="clear" w:pos="720"/>
        <w:tab w:val="left" w:pos="2880" w:leader="none"/>
        <w:tab w:val="right" w:pos="9360" w:leader="dot"/>
      </w:tabs>
      <w:bidi w:val="0"/>
      <w:ind w:hanging="0" w:start="2160" w:end="0"/>
      <w:jc w:val="both"/>
      <w:outlineLvl w:val="6"/>
    </w:pPr>
    <w:rPr>
      <w:rFonts w:ascii="Times New Roman" w:hAnsi="Times New Roman" w:eastAsia="Times New Roman" w:cs="Times New Roman"/>
      <w:color w:val="auto"/>
      <w:sz w:val="24"/>
      <w:szCs w:val="20"/>
      <w:lang w:val="en-US" w:eastAsia="zh-CN" w:bidi="hi-IN"/>
    </w:rPr>
  </w:style>
  <w:style w:type="paragraph" w:styleId="TOC8">
    <w:name w:val="toc 8"/>
    <w:next w:val="Normal"/>
    <w:pPr>
      <w:widowControl/>
      <w:tabs>
        <w:tab w:val="clear" w:pos="720"/>
        <w:tab w:val="left" w:pos="3240" w:leader="none"/>
        <w:tab w:val="right" w:pos="9360" w:leader="dot"/>
      </w:tabs>
      <w:bidi w:val="0"/>
      <w:ind w:hanging="0" w:start="2520" w:end="0"/>
      <w:jc w:val="both"/>
      <w:outlineLvl w:val="7"/>
    </w:pPr>
    <w:rPr>
      <w:rFonts w:ascii="Times New Roman" w:hAnsi="Times New Roman" w:eastAsia="Times New Roman" w:cs="Times New Roman"/>
      <w:color w:val="auto"/>
      <w:sz w:val="24"/>
      <w:szCs w:val="20"/>
      <w:lang w:val="en-US" w:eastAsia="zh-CN" w:bidi="hi-IN"/>
    </w:rPr>
  </w:style>
  <w:style w:type="paragraph" w:styleId="TOC9">
    <w:name w:val="toc 9"/>
    <w:next w:val="Normal"/>
    <w:pPr>
      <w:widowControl/>
      <w:tabs>
        <w:tab w:val="clear" w:pos="720"/>
        <w:tab w:val="left" w:pos="3600" w:leader="none"/>
        <w:tab w:val="right" w:pos="9360" w:leader="dot"/>
      </w:tabs>
      <w:bidi w:val="0"/>
      <w:ind w:hanging="0" w:start="2880" w:end="0"/>
      <w:jc w:val="both"/>
      <w:outlineLvl w:val="8"/>
    </w:pPr>
    <w:rPr>
      <w:rFonts w:ascii="Times New Roman" w:hAnsi="Times New Roman" w:eastAsia="Times New Roman" w:cs="Times New Roman"/>
      <w:color w:val="auto"/>
      <w:sz w:val="24"/>
      <w:szCs w:val="20"/>
      <w:lang w:val="en-US" w:eastAsia="zh-CN" w:bidi="hi-IN"/>
    </w:rPr>
  </w:style>
  <w:style w:type="paragraph" w:styleId="SignatureBlock1">
    <w:name w:val="Signature Block1"/>
    <w:basedOn w:val="MDCKBasic"/>
    <w:qFormat/>
    <w:pPr>
      <w:tabs>
        <w:tab w:val="clear" w:pos="720"/>
        <w:tab w:val="right" w:pos="9360" w:leader="none"/>
      </w:tabs>
      <w:spacing w:before="0" w:after="240"/>
      <w:ind w:hanging="0" w:start="4320" w:end="0"/>
      <w:jc w:val="start"/>
    </w:pPr>
    <w:rPr/>
  </w:style>
  <w:style w:type="paragraph" w:styleId="SignatureBlock2">
    <w:name w:val="Signature Block2"/>
    <w:basedOn w:val="SignatureBlock1"/>
    <w:qFormat/>
    <w:pPr>
      <w:spacing w:before="0" w:after="0"/>
    </w:pPr>
    <w:rPr/>
  </w:style>
  <w:style w:type="paragraph" w:styleId="cc">
    <w:name w:val="cc"/>
    <w:basedOn w:val="SignatureBlock1"/>
    <w:qFormat/>
    <w:pPr>
      <w:tabs>
        <w:tab w:val="clear" w:pos="9360"/>
      </w:tabs>
      <w:spacing w:before="0" w:after="0"/>
      <w:ind w:hanging="72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MDC&amp;K PCMemorandum.dot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2001-01-10T15:05:00Z</dcterms:created>
  <dc:creator>marr</dc:creator>
  <dc:description/>
  <dc:language>en-CA</dc:language>
  <cp:lastModifiedBy>McNS</cp:lastModifiedBy>
  <cp:lastPrinted>2001-01-09T19:44:00Z</cp:lastPrinted>
  <dcterms:modified xsi:type="dcterms:W3CDTF">2001-01-10T15:05:00Z</dcterms:modified>
  <cp:revision>2</cp:revision>
  <dc:subject/>
  <dc:title>MAYOR, DAY, CALDWELL &amp; KEETON, L</dc:title>
</cp:coreProperties>
</file>