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2"/>
        </w:rPr>
      </w:pPr>
      <w:r>
        <w:rPr>
          <w:rFonts w:cs="Arial Narrow" w:ascii="Arial Narrow" w:hAnsi="Arial Narrow"/>
          <w:sz w:val="22"/>
        </w:rPr>
        <w:drawing>
          <wp:inline distT="0" distB="0" distL="0" distR="0">
            <wp:extent cx="995680" cy="989965"/>
            <wp:effectExtent l="0" t="0" r="0" b="0"/>
            <wp:docPr id="1"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rFonts w:ascii="Arial Narrow" w:hAnsi="Arial Narrow" w:cs="Arial Narrow"/>
          <w:sz w:val="22"/>
        </w:rPr>
      </w:pPr>
      <w:r>
        <w:rPr>
          <w:rFonts w:cs="Arial Narrow" w:ascii="Arial Narrow" w:hAnsi="Arial Narrow"/>
          <w:sz w:val="22"/>
        </w:rPr>
      </w:r>
    </w:p>
    <w:p>
      <w:pPr>
        <w:pStyle w:val="Normal"/>
        <w:rPr>
          <w:rFonts w:ascii="Arial Narrow" w:hAnsi="Arial Narrow" w:cs="Arial Narrow"/>
          <w:sz w:val="22"/>
        </w:rPr>
      </w:pPr>
      <w:r>
        <w:rPr>
          <w:rFonts w:cs="Arial Narrow" w:ascii="Arial Narrow" w:hAnsi="Arial Narrow"/>
          <w:sz w:val="22"/>
        </w:rPr>
      </w:r>
    </w:p>
    <w:p>
      <w:pPr>
        <w:pStyle w:val="Normal"/>
        <w:ind w:hanging="2160" w:start="2160" w:end="0"/>
        <w:rPr>
          <w:rFonts w:ascii="Arial Narrow" w:hAnsi="Arial Narrow" w:cs="Arial Narrow"/>
          <w:sz w:val="22"/>
        </w:rPr>
      </w:pPr>
      <w:r>
        <w:rPr>
          <w:rFonts w:cs="Arial Narrow" w:ascii="Arial Narrow" w:hAnsi="Arial Narrow"/>
          <w:sz w:val="22"/>
        </w:rPr>
        <w:t>To:</w:t>
        <w:tab/>
        <w:t xml:space="preserve">Don Black </w:t>
      </w:r>
    </w:p>
    <w:p>
      <w:pPr>
        <w:pStyle w:val="Normal"/>
        <w:ind w:hanging="2160" w:start="2160" w:end="0"/>
        <w:rPr>
          <w:rFonts w:ascii="Arial Narrow" w:hAnsi="Arial Narrow" w:cs="Arial Narrow"/>
          <w:sz w:val="22"/>
        </w:rPr>
      </w:pPr>
      <w:r>
        <w:rPr>
          <w:rFonts w:cs="Arial Narrow" w:ascii="Arial Narrow" w:hAnsi="Arial Narrow"/>
          <w:sz w:val="22"/>
        </w:rPr>
        <w:t>From:</w:t>
        <w:tab/>
        <w:t>Christopher Smith</w:t>
      </w:r>
    </w:p>
    <w:p>
      <w:pPr>
        <w:pStyle w:val="Normal"/>
        <w:ind w:hanging="2160" w:start="2160" w:end="0"/>
        <w:rPr>
          <w:rFonts w:ascii="Arial Narrow" w:hAnsi="Arial Narrow" w:cs="Arial Narrow"/>
          <w:sz w:val="22"/>
        </w:rPr>
      </w:pPr>
      <w:r>
        <w:rPr>
          <w:rFonts w:cs="Arial Narrow" w:ascii="Arial Narrow" w:hAnsi="Arial Narrow"/>
          <w:sz w:val="22"/>
        </w:rPr>
        <w:t>Subject:</w:t>
        <w:tab/>
        <w:t>TECO/Mosbacher Delmarva Peninsula Merchant Power Plant (the “Project”)</w:t>
      </w:r>
    </w:p>
    <w:p>
      <w:pPr>
        <w:pStyle w:val="Normal"/>
        <w:ind w:hanging="2160" w:start="2160" w:end="0"/>
        <w:rPr>
          <w:rFonts w:ascii="Arial Narrow" w:hAnsi="Arial Narrow" w:cs="Arial Narrow"/>
          <w:sz w:val="22"/>
        </w:rPr>
      </w:pPr>
      <w:r>
        <w:rPr>
          <w:rFonts w:cs="Arial Narrow" w:ascii="Arial Narrow" w:hAnsi="Arial Narrow"/>
          <w:sz w:val="22"/>
        </w:rPr>
        <w:t>Department:</w:t>
        <w:tab/>
        <w:t>Risk Assessment and Control</w:t>
      </w:r>
    </w:p>
    <w:p>
      <w:pPr>
        <w:pStyle w:val="Normal"/>
        <w:ind w:hanging="2160" w:start="2160" w:end="0"/>
        <w:rPr>
          <w:rFonts w:ascii="Arial Narrow" w:hAnsi="Arial Narrow" w:cs="Arial Narrow"/>
          <w:sz w:val="22"/>
        </w:rPr>
      </w:pPr>
      <w:r>
        <w:rPr>
          <w:rFonts w:cs="Arial Narrow" w:ascii="Arial Narrow" w:hAnsi="Arial Narrow"/>
          <w:sz w:val="22"/>
        </w:rPr>
        <w:t>Date:</w:t>
        <w:tab/>
        <w:t>March 8, 2000</w:t>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op w:val="single" w:sz="18" w:space="0" w:color="000000"/>
            </w:tcBorders>
          </w:tcPr>
          <w:p>
            <w:pPr>
              <w:pStyle w:val="Normal"/>
              <w:snapToGrid w:val="false"/>
              <w:rPr>
                <w:rFonts w:ascii="Arial Narrow" w:hAnsi="Arial Narrow" w:cs="Arial Narrow"/>
                <w:sz w:val="22"/>
              </w:rPr>
            </w:pPr>
            <w:r>
              <w:rPr>
                <w:rFonts w:cs="Arial Narrow" w:ascii="Arial Narrow" w:hAnsi="Arial Narrow"/>
                <w:sz w:val="22"/>
              </w:rPr>
            </w:r>
          </w:p>
        </w:tc>
      </w:tr>
    </w:tbl>
    <w:p>
      <w:pPr>
        <w:pStyle w:val="Normal"/>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b/>
          <w:i/>
          <w:sz w:val="22"/>
          <w:u w:val="single"/>
        </w:rPr>
        <w:t>Transaction Overview:</w:t>
      </w:r>
      <w:r>
        <w:rPr>
          <w:rFonts w:cs="Arial Narrow" w:ascii="Arial Narrow" w:hAnsi="Arial Narrow"/>
          <w:b/>
          <w:i/>
          <w:sz w:val="22"/>
        </w:rPr>
        <w:t xml:space="preserve"> </w:t>
      </w:r>
      <w:r>
        <w:rPr>
          <w:rFonts w:cs="Arial Narrow" w:ascii="Arial Narrow" w:hAnsi="Arial Narrow"/>
          <w:sz w:val="22"/>
        </w:rPr>
        <w:t xml:space="preserve">  </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The Project is a seven unit, LM 6000 based, oil fired simple cycle power plant (approximately 315 MW) located in the Virginia portion of the Delmarva Peninsula in the county of Accomack.  The Origination Group is presently marketing a commodity price risk management structure to the Project, which is comprised of two financial swaps, a Buy Contract and a Sell Contract.  The basic structure of the financial swaps is as follows:</w:t>
      </w:r>
    </w:p>
    <w:p>
      <w:pPr>
        <w:pStyle w:val="Normal"/>
        <w:jc w:val="both"/>
        <w:rPr>
          <w:rFonts w:ascii="Arial Narrow" w:hAnsi="Arial Narrow" w:cs="Arial Narrow"/>
          <w:sz w:val="22"/>
        </w:rPr>
      </w:pPr>
      <w:r>
        <w:rPr>
          <w:rFonts w:cs="Arial Narrow" w:ascii="Arial Narrow" w:hAnsi="Arial Narrow"/>
          <w:sz w:val="22"/>
        </w:rPr>
      </w:r>
    </w:p>
    <w:p>
      <w:pPr>
        <w:pStyle w:val="Normal"/>
        <w:numPr>
          <w:ilvl w:val="0"/>
          <w:numId w:val="3"/>
        </w:numPr>
        <w:jc w:val="both"/>
        <w:rPr>
          <w:rFonts w:ascii="Arial Narrow" w:hAnsi="Arial Narrow" w:cs="Arial Narrow"/>
          <w:sz w:val="22"/>
        </w:rPr>
      </w:pPr>
      <w:r>
        <w:rPr>
          <w:rFonts w:cs="Arial Narrow" w:ascii="Arial Narrow" w:hAnsi="Arial Narrow"/>
          <w:sz w:val="22"/>
        </w:rPr>
        <w:t xml:space="preserve">The buy side contract is comprised of: (i) a fixed payment which obligates EPMI to pay a Trustee an annual fixed payment equal to a pre-determined number of kilowatts per month (the intent is for this payment to approximate the Project’s annual P&amp;I  payment); and (ii) a monthly floating payment due from a Trustee to EPMI.  The floating payment is a heat rate spread option that is equivalent to the positive difference, if any, between the PJM curve and a strike price (“SP”) where the SP is equal to the heat rate multiplied by a fuel index plus an inflation adjusted variable O&amp;M component.  The contention is that the buy side contract is generally in-the-money to EPMI when the Project’s economics are strong and thus the value associated with the heat rate spread option exceeds the Projects debt service requirements.  </w:t>
      </w:r>
    </w:p>
    <w:p>
      <w:pPr>
        <w:pStyle w:val="Normal"/>
        <w:numPr>
          <w:ilvl w:val="0"/>
          <w:numId w:val="3"/>
        </w:numPr>
        <w:jc w:val="both"/>
        <w:rPr>
          <w:rFonts w:ascii="Arial Narrow" w:hAnsi="Arial Narrow" w:cs="Arial Narrow"/>
          <w:sz w:val="22"/>
        </w:rPr>
      </w:pPr>
      <w:r>
        <w:rPr>
          <w:rFonts w:cs="Arial Narrow" w:ascii="Arial Narrow" w:hAnsi="Arial Narrow"/>
          <w:sz w:val="22"/>
        </w:rPr>
        <w:t xml:space="preserve">The sell side contract is a parallel offsetting financial swap where EPMI receives a fixed payment and is obligated to pay the floating payment.  Both legs of the sell side swap are calculated in the identical manner to that of the buy side contract.  The contention is that the sell side contract is generally in-the-money to EPMI when and if the Project is in distress.  </w:t>
      </w:r>
    </w:p>
    <w:p>
      <w:pPr>
        <w:pStyle w:val="Normal"/>
        <w:numPr>
          <w:ilvl w:val="0"/>
          <w:numId w:val="3"/>
        </w:numPr>
        <w:jc w:val="both"/>
        <w:rPr>
          <w:rFonts w:ascii="Arial Narrow" w:hAnsi="Arial Narrow" w:cs="Arial Narrow"/>
          <w:sz w:val="22"/>
        </w:rPr>
      </w:pPr>
      <w:r>
        <w:rPr>
          <w:rFonts w:cs="Arial Narrow" w:ascii="Arial Narrow" w:hAnsi="Arial Narrow"/>
          <w:sz w:val="22"/>
        </w:rPr>
        <w:t xml:space="preserve">The financial swaps are not cross-defaulted.  As such, it is plausible that EPMI will be obligated to continue making payments under the buy side contract while already having terminated the sell side contract due to a payment default, and thus having a significant claim as an unsecured creditor to the Project.  </w:t>
      </w:r>
    </w:p>
    <w:p>
      <w:pPr>
        <w:pStyle w:val="Normal"/>
        <w:numPr>
          <w:ilvl w:val="0"/>
          <w:numId w:val="3"/>
        </w:numPr>
        <w:jc w:val="both"/>
        <w:rPr>
          <w:rFonts w:ascii="Arial Narrow" w:hAnsi="Arial Narrow" w:cs="Arial Narrow"/>
          <w:sz w:val="22"/>
        </w:rPr>
      </w:pPr>
      <w:r>
        <w:rPr>
          <w:rFonts w:cs="Arial Narrow" w:ascii="Arial Narrow" w:hAnsi="Arial Narrow"/>
          <w:sz w:val="22"/>
        </w:rPr>
        <w:t xml:space="preserve">Enron must waive its right to terminate the buy side contact due to bankruptcy of the Project.  EPMI may only terminate the buy side contract as a result of non-performance or in a bankruptcy process in which a judge rejects the buy side contract that is most likely in-the-money to the Trustee/Project.  </w:t>
      </w:r>
    </w:p>
    <w:p>
      <w:pPr>
        <w:pStyle w:val="Normal"/>
        <w:ind w:start="360" w:end="0"/>
        <w:jc w:val="both"/>
        <w:rPr>
          <w:rFonts w:ascii="Arial Narrow" w:hAnsi="Arial Narrow" w:cs="Arial Narrow"/>
          <w:sz w:val="22"/>
        </w:rPr>
      </w:pPr>
      <w:r>
        <w:rPr>
          <w:rFonts w:cs="Arial Narrow" w:ascii="Arial Narrow" w:hAnsi="Arial Narrow"/>
          <w:sz w:val="22"/>
        </w:rPr>
      </w:r>
    </w:p>
    <w:p>
      <w:pPr>
        <w:pStyle w:val="BodyText"/>
        <w:rPr/>
      </w:pPr>
      <w:r>
        <w:rPr/>
        <w:t>In summary, the concept is for Enron to offer the Project a commodity “put” or a guarantee of a commodity price “floor” that ensures enough revenues for a pre-determined amount of funded debt.  The expectation is that this will enable the Project to tap investment grade capital market funding sources, thus lowering its cost of capital.  EPMI will be compensated via an up-front/structuring fee; approximately 5% of funded debt or $5.9MM.  EPMI will remain a passive participant in the Project until owed money or in a default scenario at which time EPMI will need to accelerate its termination payment calculation under the sell side contract.  Lastly, the Origination Group believes that this energy solution, a price risk management contract, will protect the structure from being classified as a guarantee of debt or effect Enron’s balance sheet.</w:t>
      </w:r>
    </w:p>
    <w:p>
      <w:pPr>
        <w:pStyle w:val="Normal"/>
        <w:jc w:val="both"/>
        <w:rPr>
          <w:rFonts w:ascii="Arial Narrow" w:hAnsi="Arial Narrow" w:cs="Arial Narrow"/>
          <w:b/>
          <w:sz w:val="22"/>
          <w:u w:val="single"/>
        </w:rPr>
      </w:pPr>
      <w:r>
        <w:rPr>
          <w:rFonts w:cs="Arial Narrow" w:ascii="Arial Narrow" w:hAnsi="Arial Narrow"/>
          <w:b/>
          <w:sz w:val="22"/>
          <w:u w:val="single"/>
        </w:rPr>
      </w:r>
    </w:p>
    <w:p>
      <w:pPr>
        <w:pStyle w:val="Normal"/>
        <w:jc w:val="both"/>
        <w:rPr/>
      </w:pPr>
      <w:r>
        <w:rPr>
          <w:rFonts w:cs="Arial Narrow" w:ascii="Arial Narrow" w:hAnsi="Arial Narrow"/>
          <w:b/>
          <w:sz w:val="22"/>
          <w:u w:val="single"/>
        </w:rPr>
        <w:t>Risk Management Contracts Valuation</w:t>
      </w:r>
      <w:r>
        <w:rPr>
          <w:rFonts w:cs="Arial Narrow" w:ascii="Arial Narrow" w:hAnsi="Arial Narrow"/>
          <w:sz w:val="22"/>
        </w:rPr>
        <w:t xml:space="preserve">:  </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 xml:space="preserve">The following diagram depicts the net value of the financial swaps discussed in the proceeding “Transaction Overview” section.  This valuation (CRM’s bases case projection) is based on ENA/EPMI’s current fuel, power and interest rate curve.  Although this valuation demonstrates that the value of the monthly calls exceeds the value of the funded debt (the “AA” PV value of the annual P&amp;I payment), CRM’s base case projections demonstrates  (see Exhibit A attached hereto) that the Project is in default in every year except the fiscal period ended 12/31/2000, the first fiscal period, a period in which no principal payment is due.  </w:t>
      </w:r>
    </w:p>
    <w:p>
      <w:pPr>
        <w:pStyle w:val="Normal"/>
        <w:jc w:val="both"/>
        <w:rPr>
          <w:rFonts w:ascii="Arial Narrow" w:hAnsi="Arial Narrow" w:cs="Arial Narrow"/>
          <w:sz w:val="22"/>
          <w:lang w:val="en-CA"/>
        </w:rPr>
      </w:pPr>
      <w:r>
        <w:rPr>
          <w:rFonts w:cs="Arial Narrow" w:ascii="Arial Narrow" w:hAnsi="Arial Narrow"/>
          <w:sz w:val="22"/>
          <w:lang w:val="en-CA"/>
        </w:rPr>
        <w:drawing>
          <wp:anchor behindDoc="0" distT="0" distB="0" distL="114935" distR="114935" simplePos="0" locked="0" layoutInCell="1" allowOverlap="1" relativeHeight="6">
            <wp:simplePos x="0" y="0"/>
            <wp:positionH relativeFrom="column">
              <wp:posOffset>0</wp:posOffset>
            </wp:positionH>
            <wp:positionV relativeFrom="paragraph">
              <wp:posOffset>91440</wp:posOffset>
            </wp:positionV>
            <wp:extent cx="6395085" cy="3060700"/>
            <wp:effectExtent l="0" t="0" r="0" b="0"/>
            <wp:wrapNone/>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6" t="-12" r="-6" b="-12"/>
                    <a:stretch>
                      <a:fillRect/>
                    </a:stretch>
                  </pic:blipFill>
                  <pic:spPr bwMode="auto">
                    <a:xfrm>
                      <a:off x="0" y="0"/>
                      <a:ext cx="6395085" cy="3060700"/>
                    </a:xfrm>
                    <a:prstGeom prst="rect">
                      <a:avLst/>
                    </a:prstGeom>
                    <a:noFill/>
                  </pic:spPr>
                </pic:pic>
              </a:graphicData>
            </a:graphic>
          </wp:anchor>
        </w:drawing>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r>
    </w:p>
    <w:p>
      <w:pPr>
        <w:pStyle w:val="BodyText"/>
        <w:rPr/>
      </w:pPr>
      <w:r>
        <w:rPr>
          <w:b/>
          <w:i/>
          <w:u w:val="single"/>
        </w:rPr>
        <w:t xml:space="preserve">Project Economics: </w:t>
      </w:r>
      <w:r>
        <w:rPr/>
        <w:t xml:space="preserve">  the following is a synopsis of the key operational and financial variables associated with the Project. </w:t>
      </w:r>
    </w:p>
    <w:p>
      <w:pPr>
        <w:pStyle w:val="BodyText"/>
        <w:rPr/>
      </w:pPr>
      <w:r>
        <w:rPr/>
      </w:r>
    </w:p>
    <w:p>
      <w:pPr>
        <w:pStyle w:val="Heading1"/>
        <w:ind w:hanging="0" w:start="360" w:end="0"/>
        <w:rPr>
          <w:i/>
          <w:i/>
          <w:u w:val="none"/>
        </w:rPr>
      </w:pPr>
      <w:r>
        <w:rPr>
          <w:i/>
          <w:u w:val="none"/>
        </w:rPr>
        <w:t>Key Operational Data</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Plant capacity is assumed to be 315 MW.</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A constant heat rate of 9,579 Btu/Kwh is projected.</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The power curve utilized in CRM’s projections is the PJM Region 1D East Hub peak curve - per the Structuring Group.</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 xml:space="preserve">The fuel curve utilized in CRM projections is the “Low Sulphur Heating Oil New York Harbor “ fuel curve.  This curve is then converted from $/Bbl to $/MMBtu via a conversion factor of 5.8 Bbls per MMBtu.  </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 xml:space="preserve">The strike price is equal to a $/MWh converted fuel price plus an inflation adjusted variable operation and maintenance (“VOM”) expense.  If July power is trading at $100/MWh and the comparable $/MWh converted fuel price plus the inflation adjusted VOM is equivalent to $70/MWh then the plant would be fired up and margin income would be generated for the period of time the market price of power exceeds the strike price.  </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 xml:space="preserve">Monthly MWh are a product of: (i) how often the price of power exceeds the strike price; and (ii) and the number of peak hours in the month in which (i) occurs.  Once again plant capacity of 315 MW is assumed.   </w:t>
      </w:r>
    </w:p>
    <w:p>
      <w:pPr>
        <w:pStyle w:val="Normal"/>
        <w:jc w:val="both"/>
        <w:rPr>
          <w:rFonts w:ascii="Arial Narrow" w:hAnsi="Arial Narrow" w:cs="Arial Narrow"/>
          <w:sz w:val="22"/>
        </w:rPr>
      </w:pPr>
      <w:r>
        <w:rPr>
          <w:rFonts w:cs="Arial Narrow" w:ascii="Arial Narrow" w:hAnsi="Arial Narrow"/>
          <w:sz w:val="22"/>
        </w:rPr>
      </w:r>
    </w:p>
    <w:p>
      <w:pPr>
        <w:pStyle w:val="Heading2"/>
        <w:rPr>
          <w:i/>
          <w:i/>
          <w:u w:val="none"/>
        </w:rPr>
      </w:pPr>
      <w:r>
        <w:rPr>
          <w:i/>
          <w:u w:val="none"/>
        </w:rPr>
        <w:t>Key Financial Data</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Revenues are a product of the power price and the time specific MWh.</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Fuel expense is a product of the converted $/MWh cost and the time specific MWh.</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 xml:space="preserve">Operating expenses include the following expense items:  Management Fee, Fixed Costs, Variable Costs, Maintenance Reserve; O&amp;M Fee, TBS Parts Co. expense/loan repayment, Marketing Fee, Property Tax, and Operating Insurance.  The methodology of the calculation of these costs is prefaced on the Commercial/Origination Group’s valuation model.  </w:t>
      </w:r>
    </w:p>
    <w:p>
      <w:pPr>
        <w:pStyle w:val="Normal"/>
        <w:numPr>
          <w:ilvl w:val="0"/>
          <w:numId w:val="2"/>
        </w:numPr>
        <w:tabs>
          <w:tab w:val="clear" w:pos="720"/>
        </w:tabs>
        <w:ind w:hanging="540" w:start="1080" w:end="0"/>
        <w:jc w:val="both"/>
        <w:rPr>
          <w:rFonts w:ascii="Arial Narrow" w:hAnsi="Arial Narrow" w:cs="Arial Narrow"/>
          <w:sz w:val="22"/>
        </w:rPr>
      </w:pPr>
      <w:r>
        <w:rPr>
          <w:rFonts w:cs="Arial Narrow" w:ascii="Arial Narrow" w:hAnsi="Arial Narrow"/>
          <w:sz w:val="22"/>
        </w:rPr>
        <w:t xml:space="preserve">CRM’s model assumes $118,125,000 of funded debt with an interest rate equivalent to the risk free rate plus 225 bps.  The funded debt is amortized over 20 years with the first principal and interest payment due on 12/31/2001.  A mortgage style amortization repayment schedule is utilized with an annual P&amp;I payment of $12,709,679 – this payment equates to $40.3482/KW month which is based on a 315,000 KW/month.  </w:t>
      </w:r>
    </w:p>
    <w:p>
      <w:pPr>
        <w:pStyle w:val="Normal"/>
        <w:jc w:val="both"/>
        <w:rPr>
          <w:rFonts w:ascii="Arial Narrow" w:hAnsi="Arial Narrow" w:cs="Arial Narrow"/>
          <w:sz w:val="22"/>
        </w:rPr>
      </w:pPr>
      <w:r>
        <w:rPr>
          <w:rFonts w:cs="Arial Narrow" w:ascii="Arial Narrow" w:hAnsi="Arial Narrow"/>
          <w:sz w:val="22"/>
        </w:rPr>
      </w:r>
    </w:p>
    <w:p>
      <w:pPr>
        <w:pStyle w:val="Normal"/>
        <w:jc w:val="both"/>
        <w:rPr/>
      </w:pPr>
      <w:r>
        <w:rPr>
          <w:rFonts w:cs="Arial Narrow" w:ascii="Arial Narrow" w:hAnsi="Arial Narrow"/>
          <w:b/>
          <w:sz w:val="22"/>
          <w:u w:val="single"/>
        </w:rPr>
        <w:t>Financial Results:</w:t>
      </w:r>
      <w:r>
        <w:rPr>
          <w:rFonts w:cs="Arial Narrow" w:ascii="Arial Narrow" w:hAnsi="Arial Narrow"/>
          <w:sz w:val="22"/>
        </w:rPr>
        <w:t xml:space="preserve">  </w:t>
      </w:r>
    </w:p>
    <w:p>
      <w:pPr>
        <w:pStyle w:val="Normal"/>
        <w:jc w:val="both"/>
        <w:rPr>
          <w:rFonts w:ascii="Arial Narrow" w:hAnsi="Arial Narrow" w:cs="Arial Narrow"/>
          <w:sz w:val="22"/>
        </w:rPr>
      </w:pPr>
      <w:r>
        <w:rPr>
          <w:rFonts w:cs="Arial Narrow" w:ascii="Arial Narrow" w:hAnsi="Arial Narrow"/>
          <w:sz w:val="22"/>
        </w:rPr>
      </w:r>
    </w:p>
    <w:p>
      <w:pPr>
        <w:pStyle w:val="Normal"/>
        <w:jc w:val="both"/>
        <w:rPr>
          <w:rFonts w:ascii="Arial Narrow" w:hAnsi="Arial Narrow" w:cs="Arial Narrow"/>
          <w:sz w:val="22"/>
        </w:rPr>
      </w:pPr>
      <w:r>
        <w:rPr>
          <w:rFonts w:cs="Arial Narrow" w:ascii="Arial Narrow" w:hAnsi="Arial Narrow"/>
          <w:sz w:val="22"/>
        </w:rPr>
        <w:t xml:space="preserve">Attached as Exhibit A are comparative income and cash flow statements coupled with an EBITDA/P&amp;I coverage ratio analysis.  This exhibit compares CRM’s base case projections (base case projections are based on EPMI/ENA’s current curves) to the Project’s base case projections (these projections have been provided to CRM from the Origination and Structuring Group).  Attached as Exhibit B is a break-even analysis, which demonstrates the maximum debt that EPMI’s mid-curve could support while maintaining an EBITDA/P&amp;I coverage ratio of 1.0:1.0.  The maximum debt appears to be in the range of $58MM to $70MM with debt above $58MM requiring either minimal equity infusions or a working capital facility.  </w:t>
      </w:r>
    </w:p>
    <w:p>
      <w:pPr>
        <w:pStyle w:val="Normal"/>
        <w:jc w:val="both"/>
        <w:rPr>
          <w:rFonts w:ascii="Arial Narrow" w:hAnsi="Arial Narrow" w:cs="Arial Narrow"/>
          <w:b/>
          <w:sz w:val="22"/>
          <w:u w:val="single"/>
        </w:rPr>
      </w:pPr>
      <w:r>
        <w:rPr>
          <w:rFonts w:cs="Arial Narrow" w:ascii="Arial Narrow" w:hAnsi="Arial Narrow"/>
          <w:b/>
          <w:sz w:val="22"/>
          <w:u w:val="single"/>
        </w:rPr>
      </w:r>
    </w:p>
    <w:p>
      <w:pPr>
        <w:pStyle w:val="Normal"/>
        <w:jc w:val="both"/>
        <w:rPr>
          <w:rFonts w:ascii="Arial Narrow" w:hAnsi="Arial Narrow" w:cs="Arial Narrow"/>
          <w:b/>
          <w:sz w:val="22"/>
          <w:u w:val="single"/>
        </w:rPr>
      </w:pPr>
      <w:r>
        <w:rPr>
          <w:rFonts w:cs="Arial Narrow" w:ascii="Arial Narrow" w:hAnsi="Arial Narrow"/>
          <w:b/>
          <w:sz w:val="22"/>
          <w:u w:val="single"/>
        </w:rPr>
        <w:t>Comments:</w:t>
      </w:r>
    </w:p>
    <w:p>
      <w:pPr>
        <w:pStyle w:val="Normal"/>
        <w:jc w:val="both"/>
        <w:rPr>
          <w:rFonts w:ascii="Arial Narrow" w:hAnsi="Arial Narrow" w:cs="Arial Narrow"/>
          <w:b/>
          <w:sz w:val="22"/>
          <w:u w:val="single"/>
        </w:rPr>
      </w:pPr>
      <w:r>
        <w:rPr>
          <w:rFonts w:cs="Arial Narrow" w:ascii="Arial Narrow" w:hAnsi="Arial Narrow"/>
          <w:b/>
          <w:sz w:val="22"/>
          <w:u w:val="single"/>
        </w:rPr>
      </w:r>
    </w:p>
    <w:p>
      <w:pPr>
        <w:pStyle w:val="BodyText"/>
        <w:rPr/>
      </w:pPr>
      <w:r>
        <w:rPr/>
        <w:t xml:space="preserve">Based on EPMI/ENA’s current curves, the Project does not appear to generate sufficient cash flow to support $118,125M of funded debt; please refer to Exhibit A.  EPMI/ENA’s curves appear to support a level of debt in the $58MM to $70MM range with debt above $58MM requiring either minimal equity infusions or a working capital facility; please refer to Exhibit B.  The price risk management contracts are not an accurate barometer of the economic risk of the Project.  For this to be the case the value of the calls would need to reduced by the present value of all operating expenses not just fuel charge and VOM. </w:t>
      </w:r>
    </w:p>
    <w:p>
      <w:pPr>
        <w:pStyle w:val="BodyText"/>
        <w:rPr/>
      </w:pPr>
      <w:r>
        <w:rPr/>
      </w:r>
    </w:p>
    <w:p>
      <w:pPr>
        <w:pStyle w:val="BodyText"/>
        <w:rPr/>
      </w:pPr>
      <w:r>
        <w:rPr/>
        <w:t xml:space="preserve">The financial swaps are not cross-defaulted.  As such, it is plausible that EPMI will be obligated to continue making payments under the buy side contract while already having terminated the sell side contract due to a payment default, and thus having a significant claim as an unsecured creditor to the Project.  Enron must waive its right to terminate the buy side contact due to bankruptcy of the Project.  EPMI may only terminate the buy side contract as a result of non-performance or in a bankruptcy process in which a judge rejects the buy side contract that is most likely in-the-money to the Trustee/Project.  </w:t>
      </w:r>
    </w:p>
    <w:p>
      <w:pPr>
        <w:pStyle w:val="BodyText"/>
        <w:rPr/>
      </w:pPr>
      <w:r>
        <w:rPr/>
      </w:r>
    </w:p>
    <w:p>
      <w:pPr>
        <w:pStyle w:val="BodyText"/>
        <w:rPr/>
      </w:pPr>
      <w:r>
        <w:rPr/>
        <w:t xml:space="preserve">Based on the aforementioned, the high default percentage tied to the simulated results (approximately 77%), and the poor results tied to CRM’s base case projections, I do not recommend proceeding with this transaction, as presently contemplated.  In my opinion, any recommendation to proceed would require a significant reduction in the funded debt supporting the Project as prescribed in Exhibit B, a long-term working capital facility to support cash flow short-falls, a limitation on dividends to the equity sponsors, and some form of assurance that future cash flow shortfalls, if not covered by a working capital facility, would be supported by a predetermined dollar amount of equity sponsor contributions.  </w:t>
      </w:r>
    </w:p>
    <w:sectPr>
      <w:footerReference w:type="default" r:id="rId4"/>
      <w:type w:val="nextPage"/>
      <w:pgSz w:w="12240" w:h="15840"/>
      <w:pgMar w:left="1008" w:right="1008" w:gutter="0" w:header="0" w:top="720"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64135" cy="146685"/>
              <wp:effectExtent l="0" t="0" r="0" b="0"/>
              <wp:wrapSquare wrapText="bothSides"/>
              <wp:docPr id="3"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506.1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sz w:val="22"/>
      <w:u w:val="single"/>
    </w:rPr>
  </w:style>
  <w:style w:type="paragraph" w:styleId="Heading2">
    <w:name w:val="heading 2"/>
    <w:basedOn w:val="Normal"/>
    <w:next w:val="Normal"/>
    <w:qFormat/>
    <w:pPr>
      <w:keepNext w:val="true"/>
      <w:numPr>
        <w:ilvl w:val="1"/>
        <w:numId w:val="1"/>
      </w:numPr>
      <w:ind w:hanging="0" w:start="360" w:end="0"/>
      <w:jc w:val="both"/>
      <w:outlineLvl w:val="1"/>
    </w:pPr>
    <w:rPr>
      <w:rFonts w:ascii="Arial Narrow" w:hAnsi="Arial Narrow" w:cs="Arial Narrow"/>
      <w:b/>
      <w:sz w:val="22"/>
      <w:u w:val="single"/>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b/>
      <w:i/>
      <w:sz w:val="22"/>
    </w:rPr>
  </w:style>
  <w:style w:type="paragraph" w:styleId="Heading4">
    <w:name w:val="heading 4"/>
    <w:basedOn w:val="Normal"/>
    <w:next w:val="Normal"/>
    <w:qFormat/>
    <w:pPr>
      <w:keepNext w:val="true"/>
      <w:numPr>
        <w:ilvl w:val="3"/>
        <w:numId w:val="1"/>
      </w:numPr>
      <w:ind w:hanging="0" w:start="360" w:end="0"/>
      <w:jc w:val="both"/>
      <w:outlineLvl w:val="3"/>
    </w:pPr>
    <w:rPr>
      <w:rFonts w:ascii="Arial Narrow" w:hAnsi="Arial Narrow" w:cs="Arial Narrow"/>
      <w:b/>
      <w:i/>
      <w:sz w:val="22"/>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St1z0">
    <w:name w:val="WW8NumSt1z0"/>
    <w:qFormat/>
    <w:rPr>
      <w:rFonts w:ascii="Symbol" w:hAnsi="Symbol" w:cs="Symbol"/>
      <w:b w:val="false"/>
      <w:i w:val="false"/>
      <w:sz w:val="32"/>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
    <w:name w:val="Body"/>
    <w:basedOn w:val="Normal"/>
    <w:qFormat/>
    <w:pPr>
      <w:ind w:hanging="0" w:start="72" w:end="0"/>
    </w:pPr>
    <w:rPr>
      <w:rFonts w:ascii="Arial" w:hAnsi="Arial" w:cs="Arial"/>
      <w:color w:val="000080"/>
    </w:rPr>
  </w:style>
  <w:style w:type="paragraph" w:styleId="Department">
    <w:name w:val="Department"/>
    <w:basedOn w:val="Normal"/>
    <w:qFormat/>
    <w:pPr/>
    <w:rPr>
      <w:rFonts w:ascii="Arial" w:hAnsi="Arial" w:cs="Arial"/>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2000-03-08T11:00:00Z</dcterms:created>
  <dc:creator>appinst</dc:creator>
  <dc:description/>
  <dc:language>en-CA</dc:language>
  <cp:lastModifiedBy>Christopher Smith</cp:lastModifiedBy>
  <cp:lastPrinted>2000-03-06T10:09:00Z</cp:lastPrinted>
  <dcterms:modified xsi:type="dcterms:W3CDTF">2000-03-08T11:00:00Z</dcterms:modified>
  <cp:revision>2</cp:revision>
  <dc:subject/>
  <dc:title> </dc:title>
</cp:coreProperties>
</file>