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lang w:val="en-CA"/>
        </w:rPr>
      </w:pPr>
      <w:r>
        <w:rPr/>
        <w:t>Tokyo Aoyama Law Office</w:t>
      </w:r>
    </w:p>
    <w:p>
      <w:pPr>
        <w:pStyle w:val="Normal"/>
        <w:spacing w:lineRule="auto" w:line="240"/>
        <w:jc w:val="center"/>
        <w:rPr>
          <w:rFonts w:ascii="Times New Roman" w:hAnsi="Times New Roman" w:cs="Times New Roman"/>
          <w:caps/>
          <w:spacing w:val="-2"/>
          <w:sz w:val="14"/>
          <w:lang w:val="en-CA"/>
        </w:rPr>
      </w:pPr>
      <w:r>
        <w:rPr>
          <w:rFonts w:cs="Times New Roman" w:ascii="Times New Roman" w:hAnsi="Times New Roman"/>
          <w:caps/>
          <w:spacing w:val="-2"/>
          <w:sz w:val="14"/>
          <w:lang w:val="en-CA"/>
        </w:rPr>
        <w:t>attorneys at law</w:t>
      </w:r>
    </w:p>
    <w:p>
      <w:pPr>
        <w:pStyle w:val="Normal"/>
        <w:spacing w:lineRule="auto" w:line="240"/>
        <w:jc w:val="center"/>
        <w:rPr>
          <w:rFonts w:ascii="Times New Roman" w:hAnsi="Times New Roman" w:cs="Times New Roman"/>
          <w:caps/>
          <w:sz w:val="36"/>
          <w:lang w:val="en-CA"/>
        </w:rPr>
      </w:pPr>
      <w:r>
        <w:rPr>
          <w:rFonts w:cs="Times New Roman" w:ascii="Times New Roman" w:hAnsi="Times New Roman"/>
          <w:smallCaps/>
          <w:sz w:val="36"/>
        </w:rPr>
        <w:t xml:space="preserve">Baker &amp; McKenzie </w:t>
      </w:r>
    </w:p>
    <w:p>
      <w:pPr>
        <w:pStyle w:val="Normal"/>
        <w:spacing w:lineRule="auto" w:line="240"/>
        <w:jc w:val="center"/>
        <w:rPr>
          <w:rFonts w:ascii="Times New Roman" w:hAnsi="Times New Roman" w:cs="Times New Roman"/>
          <w:caps/>
          <w:sz w:val="8"/>
          <w:lang w:val="en-CA"/>
        </w:rPr>
      </w:pPr>
      <w:r>
        <w:rPr>
          <w:rFonts w:cs="Times New Roman" w:ascii="Times New Roman" w:hAnsi="Times New Roman"/>
          <w:caps/>
          <w:sz w:val="8"/>
          <w:lang w:val="en-CA"/>
        </w:rPr>
      </w:r>
    </w:p>
    <w:p>
      <w:pPr>
        <w:pStyle w:val="Normal"/>
        <w:spacing w:lineRule="auto" w:line="240"/>
        <w:jc w:val="center"/>
        <w:rPr>
          <w:rFonts w:ascii="Times New Roman" w:hAnsi="Times New Roman" w:cs="Times New Roman"/>
          <w:caps/>
          <w:spacing w:val="-2"/>
          <w:sz w:val="14"/>
          <w:lang w:val="en-CA"/>
        </w:rPr>
      </w:pPr>
      <w:r>
        <w:rPr>
          <w:rFonts w:cs="Times New Roman" w:ascii="Times New Roman" w:hAnsi="Times New Roman"/>
          <w:caps/>
          <w:spacing w:val="-2"/>
          <w:sz w:val="14"/>
          <w:lang w:val="en-CA"/>
        </w:rPr>
        <w:t>attorney at foreign law office</w:t>
      </w:r>
    </w:p>
    <w:p>
      <w:pPr>
        <w:pStyle w:val="Normal"/>
        <w:spacing w:lineRule="auto" w:line="240"/>
        <w:jc w:val="center"/>
        <w:rPr>
          <w:rFonts w:ascii="Times New Roman" w:hAnsi="Times New Roman" w:cs="Times New Roman"/>
          <w:caps/>
          <w:spacing w:val="-2"/>
          <w:sz w:val="8"/>
          <w:lang w:val="en-CA"/>
        </w:rPr>
      </w:pPr>
      <w:r>
        <w:rPr>
          <w:rFonts w:cs="Times New Roman" w:ascii="Times New Roman" w:hAnsi="Times New Roman"/>
          <w:caps/>
          <w:spacing w:val="-2"/>
          <w:sz w:val="8"/>
          <w:lang w:val="en-CA"/>
        </w:rPr>
      </w:r>
    </w:p>
    <w:p>
      <w:pPr>
        <w:pStyle w:val="Normal"/>
        <w:spacing w:lineRule="auto" w:line="240"/>
        <w:jc w:val="center"/>
        <w:rPr>
          <w:rFonts w:ascii="Times New Roman" w:hAnsi="Times New Roman" w:cs="Times New Roman"/>
          <w:caps/>
          <w:spacing w:val="-2"/>
          <w:sz w:val="14"/>
          <w:lang w:val="en-CA"/>
        </w:rPr>
      </w:pPr>
      <w:r>
        <w:rPr>
          <w:rFonts w:cs="Times New Roman" w:ascii="Times New Roman" w:hAnsi="Times New Roman"/>
          <w:caps/>
          <w:spacing w:val="-2"/>
          <w:sz w:val="14"/>
          <w:lang w:val="en-CA"/>
        </w:rPr>
        <w:t>qualified joint enterprise offices</w:t>
      </w:r>
    </w:p>
    <w:p>
      <w:pPr>
        <w:pStyle w:val="Normal"/>
        <w:spacing w:lineRule="auto" w:line="240"/>
        <w:rPr>
          <w:rFonts w:ascii="Times New Roman" w:hAnsi="Times New Roman" w:cs="Times New Roman"/>
          <w:caps/>
          <w:spacing w:val="-2"/>
          <w:sz w:val="14"/>
          <w:lang w:val="en-CA"/>
        </w:rPr>
      </w:pPr>
      <w:r>
        <w:rPr>
          <w:rFonts w:cs="Times New Roman" w:ascii="Times New Roman" w:hAnsi="Times New Roman"/>
          <w:caps/>
          <w:spacing w:val="-2"/>
          <w:sz w:val="14"/>
          <w:lang w:val="en-CA"/>
        </w:rPr>
      </w:r>
    </w:p>
    <w:p>
      <w:pPr>
        <w:pStyle w:val="Normal"/>
        <w:numPr>
          <w:ilvl w:val="0"/>
          <w:numId w:val="0"/>
        </w:numPr>
        <w:jc w:val="center"/>
        <w:outlineLvl w:val="0"/>
        <w:rPr>
          <w:rFonts w:ascii="Times New Roman" w:hAnsi="Times New Roman" w:cs="Times New Roman"/>
          <w:b/>
          <w:sz w:val="32"/>
        </w:rPr>
      </w:pPr>
      <w:r>
        <w:rPr>
          <w:rFonts w:cs="Times New Roman" w:ascii="Times New Roman" w:hAnsi="Times New Roman"/>
          <w:b/>
          <w:sz w:val="32"/>
        </w:rPr>
        <w:t>MEMORANDUM</w:t>
      </w:r>
    </w:p>
    <w:p>
      <w:pPr>
        <w:pStyle w:val="Normal"/>
        <w:jc w:val="center"/>
        <w:rPr>
          <w:rFonts w:ascii="Times New Roman" w:hAnsi="Times New Roman" w:cs="Times New Roman"/>
          <w:b/>
          <w:sz w:val="32"/>
        </w:rPr>
      </w:pPr>
      <w:r>
        <w:rPr>
          <w:rFonts w:cs="Times New Roman" w:ascii="Times New Roman" w:hAnsi="Times New Roman"/>
          <w:b/>
          <w:sz w:val="32"/>
        </w:rPr>
      </w:r>
    </w:p>
    <w:tbl>
      <w:tblPr>
        <w:tblW w:w="9198" w:type="dxa"/>
        <w:jc w:val="start"/>
        <w:tblInd w:w="0" w:type="dxa"/>
        <w:tblLayout w:type="fixed"/>
        <w:tblCellMar>
          <w:top w:w="0" w:type="dxa"/>
          <w:start w:w="108" w:type="dxa"/>
          <w:bottom w:w="0" w:type="dxa"/>
          <w:end w:w="108" w:type="dxa"/>
        </w:tblCellMar>
      </w:tblPr>
      <w:tblGrid>
        <w:gridCol w:w="1101"/>
        <w:gridCol w:w="8097"/>
      </w:tblGrid>
      <w:tr>
        <w:trPr/>
        <w:tc>
          <w:tcPr>
            <w:tcW w:w="1101" w:type="dxa"/>
            <w:tcBorders/>
          </w:tcPr>
          <w:p>
            <w:pPr>
              <w:pStyle w:val="Normal"/>
              <w:spacing w:lineRule="auto" w:line="240"/>
              <w:ind w:end="-90"/>
              <w:jc w:val="start"/>
              <w:rPr/>
            </w:pPr>
            <w:r>
              <w:rPr>
                <w:rFonts w:eastAsia="ＭＳ ゴシック;MS Gothic" w:cs="Times New Roman" w:ascii="Times New Roman" w:hAnsi="Times New Roman"/>
                <w:b/>
                <w:lang w:eastAsia="ja-JP"/>
              </w:rPr>
              <w:t>TO</w:t>
            </w:r>
            <w:r>
              <w:rPr>
                <w:rFonts w:eastAsia="ＭＳ ゴシック;MS Gothic" w:cs="Times New Roman" w:ascii="Times New Roman" w:hAnsi="Times New Roman"/>
                <w:b/>
                <w:lang w:eastAsia="ja-JP"/>
              </w:rPr>
              <w:t>:</w:t>
            </w:r>
          </w:p>
        </w:tc>
        <w:tc>
          <w:tcPr>
            <w:tcW w:w="8097" w:type="dxa"/>
            <w:tcBorders/>
          </w:tcPr>
          <w:p>
            <w:pPr>
              <w:pStyle w:val="Normal"/>
              <w:spacing w:lineRule="auto" w:line="240" w:before="0" w:after="120"/>
              <w:ind w:end="-86"/>
              <w:rPr>
                <w:rFonts w:ascii="Times New Roman" w:hAnsi="Times New Roman" w:cs="Times New Roman"/>
              </w:rPr>
            </w:pPr>
            <w:r>
              <w:rPr>
                <w:rFonts w:cs="Times New Roman" w:ascii="Times New Roman" w:hAnsi="Times New Roman"/>
              </w:rPr>
              <w:t>SUSAN MUSCH, ENRON NORTH AMERICA</w:t>
            </w:r>
          </w:p>
          <w:p>
            <w:pPr>
              <w:pStyle w:val="Normal"/>
              <w:spacing w:lineRule="auto" w:line="240"/>
              <w:ind w:end="-90"/>
              <w:rPr>
                <w:rFonts w:ascii="Times New Roman" w:hAnsi="Times New Roman" w:eastAsia="ＭＳ ゴシック;MS Gothic" w:cs="Times New Roman"/>
                <w:lang w:eastAsia="ja-JP"/>
              </w:rPr>
            </w:pPr>
            <w:r>
              <w:rPr>
                <w:rFonts w:cs="Times New Roman" w:ascii="Times New Roman" w:hAnsi="Times New Roman"/>
              </w:rPr>
              <w:t>JOHN VIVERITO AND JANE McBRIDE, ENRON, JAPAN</w:t>
            </w:r>
          </w:p>
        </w:tc>
      </w:tr>
      <w:tr>
        <w:trPr>
          <w:trHeight w:val="120" w:hRule="exact"/>
        </w:trPr>
        <w:tc>
          <w:tcPr>
            <w:tcW w:w="9198" w:type="dxa"/>
            <w:gridSpan w:val="2"/>
            <w:tcBorders/>
          </w:tcPr>
          <w:p>
            <w:pPr>
              <w:pStyle w:val="Normal"/>
              <w:snapToGrid w:val="false"/>
              <w:spacing w:lineRule="auto" w:line="240"/>
              <w:ind w:end="-90"/>
              <w:rPr>
                <w:rFonts w:ascii="Times New Roman" w:hAnsi="Times New Roman" w:eastAsia="ＭＳ ゴシック;MS Gothic" w:cs="Times New Roman"/>
                <w:lang w:eastAsia="ja-JP"/>
              </w:rPr>
            </w:pPr>
            <w:r>
              <w:rPr>
                <w:rFonts w:eastAsia="ＭＳ ゴシック;MS Gothic" w:cs="Times New Roman" w:ascii="Times New Roman" w:hAnsi="Times New Roman"/>
                <w:lang w:eastAsia="ja-JP"/>
              </w:rPr>
            </w:r>
          </w:p>
        </w:tc>
      </w:tr>
      <w:tr>
        <w:trPr/>
        <w:tc>
          <w:tcPr>
            <w:tcW w:w="1101" w:type="dxa"/>
            <w:tcBorders/>
          </w:tcPr>
          <w:p>
            <w:pPr>
              <w:pStyle w:val="Normal"/>
              <w:spacing w:lineRule="auto" w:line="240"/>
              <w:ind w:end="-90"/>
              <w:jc w:val="start"/>
              <w:rPr/>
            </w:pPr>
            <w:r>
              <w:rPr>
                <w:rFonts w:eastAsia="ＭＳ ゴシック;MS Gothic" w:cs="Times New Roman" w:ascii="Times New Roman" w:hAnsi="Times New Roman"/>
                <w:b/>
                <w:lang w:eastAsia="ja-JP"/>
              </w:rPr>
              <w:t>CC</w:t>
            </w:r>
            <w:r>
              <w:rPr>
                <w:rFonts w:eastAsia="ＭＳ ゴシック;MS Gothic" w:cs="Times New Roman" w:ascii="Times New Roman" w:hAnsi="Times New Roman"/>
                <w:b/>
                <w:lang w:eastAsia="ja-JP"/>
              </w:rPr>
              <w:t>:</w:t>
            </w:r>
          </w:p>
        </w:tc>
        <w:tc>
          <w:tcPr>
            <w:tcW w:w="8097" w:type="dxa"/>
            <w:tcBorders/>
          </w:tcPr>
          <w:p>
            <w:pPr>
              <w:pStyle w:val="Normal"/>
              <w:spacing w:lineRule="auto" w:line="240"/>
              <w:ind w:end="-90"/>
              <w:rPr>
                <w:rFonts w:ascii="Times New Roman" w:hAnsi="Times New Roman" w:cs="Times New Roman"/>
              </w:rPr>
            </w:pPr>
            <w:r>
              <w:rPr>
                <w:rFonts w:cs="Times New Roman" w:ascii="Times New Roman" w:hAnsi="Times New Roman"/>
              </w:rPr>
              <w:t>ED WHATLEY</w:t>
            </w:r>
          </w:p>
        </w:tc>
      </w:tr>
      <w:tr>
        <w:trPr>
          <w:trHeight w:val="120" w:hRule="exact"/>
        </w:trPr>
        <w:tc>
          <w:tcPr>
            <w:tcW w:w="9198" w:type="dxa"/>
            <w:gridSpan w:val="2"/>
            <w:tcBorders/>
          </w:tcPr>
          <w:p>
            <w:pPr>
              <w:pStyle w:val="Normal"/>
              <w:snapToGrid w:val="false"/>
              <w:spacing w:lineRule="auto" w:line="240"/>
              <w:ind w:end="-90"/>
              <w:rPr>
                <w:rFonts w:ascii="Times New Roman" w:hAnsi="Times New Roman" w:cs="Times New Roman"/>
              </w:rPr>
            </w:pPr>
            <w:r>
              <w:rPr>
                <w:rFonts w:cs="Times New Roman" w:ascii="Times New Roman" w:hAnsi="Times New Roman"/>
              </w:rPr>
            </w:r>
          </w:p>
        </w:tc>
      </w:tr>
      <w:tr>
        <w:trPr/>
        <w:tc>
          <w:tcPr>
            <w:tcW w:w="1101" w:type="dxa"/>
            <w:tcBorders/>
          </w:tcPr>
          <w:p>
            <w:pPr>
              <w:pStyle w:val="Normal"/>
              <w:spacing w:lineRule="auto" w:line="240"/>
              <w:ind w:end="-90"/>
              <w:jc w:val="start"/>
              <w:rPr>
                <w:rFonts w:ascii="Times New Roman" w:hAnsi="Times New Roman" w:eastAsia="ＭＳ ゴシック;MS Gothic" w:cs="Times New Roman"/>
                <w:b/>
                <w:lang w:eastAsia="ja-JP"/>
              </w:rPr>
            </w:pPr>
            <w:r>
              <w:rPr>
                <w:rFonts w:eastAsia="ＭＳ ゴシック;MS Gothic" w:cs="Times New Roman" w:ascii="Times New Roman" w:hAnsi="Times New Roman"/>
                <w:b/>
                <w:lang w:eastAsia="ja-JP"/>
              </w:rPr>
              <w:t>FROM:</w:t>
            </w:r>
          </w:p>
        </w:tc>
        <w:tc>
          <w:tcPr>
            <w:tcW w:w="8097" w:type="dxa"/>
            <w:tcBorders/>
          </w:tcPr>
          <w:p>
            <w:pPr>
              <w:pStyle w:val="Normal"/>
              <w:spacing w:lineRule="auto" w:line="240"/>
              <w:ind w:end="-90"/>
              <w:rPr>
                <w:rFonts w:ascii="Times New Roman" w:hAnsi="Times New Roman" w:cs="Times New Roman"/>
              </w:rPr>
            </w:pPr>
            <w:r>
              <w:rPr>
                <w:rFonts w:cs="Times New Roman" w:ascii="Times New Roman" w:hAnsi="Times New Roman"/>
              </w:rPr>
              <w:t>PAUL DAVIS AND JEREMY PITTS</w:t>
            </w:r>
            <w:r>
              <w:rPr>
                <w:rStyle w:val="FootnoteCharacters"/>
                <w:rStyle w:val="FootnoteReference"/>
                <w:rFonts w:cs="Times New Roman" w:ascii="Times New Roman" w:hAnsi="Times New Roman"/>
              </w:rPr>
              <w:footnoteReference w:id="2"/>
            </w:r>
            <w:r>
              <w:fldChar w:fldCharType="begin">
                <w:ffData>
                  <w:name w:val="Text3"/>
                  <w:enabled/>
                  <w:calcOnExit w:val="0"/>
                  <w:textInput/>
                </w:ffData>
              </w:fldChar>
            </w:r>
            <w:r>
              <w:rPr>
                <w:rFonts w:cs="Times New Roman" w:ascii="Times New Roman" w:hAnsi="Times New Roman"/>
                <w:lang w:val="en-CA"/>
              </w:rPr>
              <w:instrText xml:space="preserve"> FORMTEXT </w:instrText>
            </w:r>
            <w:r>
              <w:rPr>
                <w:rFonts w:cs="Times New Roman" w:ascii="Times New Roman" w:hAnsi="Times New Roman"/>
                <w:lang w:val="en-CA"/>
              </w:rPr>
            </w:r>
            <w:r>
              <w:rPr>
                <w:rFonts w:cs="Times New Roman" w:ascii="Times New Roman" w:hAnsi="Times New Roman"/>
                <w:lang w:val="en-CA"/>
              </w:rPr>
              <w:fldChar w:fldCharType="separate"/>
            </w:r>
            <w:r>
              <w:rPr>
                <w:rFonts w:cs="Times New Roman" w:ascii="Times New Roman" w:hAnsi="Times New Roman"/>
                <w:lang w:val="en-CA"/>
              </w:rPr>
              <w:t>     </w:t>
            </w:r>
            <w:r/>
            <w:r>
              <w:rPr>
                <w:rFonts w:cs="Times New Roman" w:ascii="Times New Roman" w:hAnsi="Times New Roman"/>
                <w:lang w:val="en-CA"/>
              </w:rPr>
              <w:fldChar w:fldCharType="end"/>
            </w:r>
            <w:r>
              <w:rPr>
                <w:rFonts w:cs="Times New Roman" w:ascii="Times New Roman" w:hAnsi="Times New Roman"/>
                <w:lang w:val="en-CA"/>
              </w:rPr>
            </w:r>
          </w:p>
        </w:tc>
      </w:tr>
      <w:tr>
        <w:trPr>
          <w:trHeight w:val="120" w:hRule="exact"/>
        </w:trPr>
        <w:tc>
          <w:tcPr>
            <w:tcW w:w="9198" w:type="dxa"/>
            <w:gridSpan w:val="2"/>
            <w:tcBorders/>
          </w:tcPr>
          <w:p>
            <w:pPr>
              <w:pStyle w:val="Normal"/>
              <w:snapToGrid w:val="false"/>
              <w:spacing w:lineRule="auto" w:line="240"/>
              <w:ind w:end="-90"/>
              <w:rPr>
                <w:rFonts w:ascii="Times New Roman" w:hAnsi="Times New Roman" w:cs="Times New Roman"/>
              </w:rPr>
            </w:pPr>
            <w:r>
              <w:rPr>
                <w:rFonts w:cs="Times New Roman" w:ascii="Times New Roman" w:hAnsi="Times New Roman"/>
              </w:rPr>
            </w:r>
          </w:p>
        </w:tc>
      </w:tr>
      <w:tr>
        <w:trPr>
          <w:trHeight w:val="142" w:hRule="atLeast"/>
        </w:trPr>
        <w:tc>
          <w:tcPr>
            <w:tcW w:w="1101" w:type="dxa"/>
            <w:tcBorders/>
          </w:tcPr>
          <w:p>
            <w:pPr>
              <w:pStyle w:val="Normal"/>
              <w:spacing w:lineRule="auto" w:line="240"/>
              <w:ind w:end="-90"/>
              <w:jc w:val="start"/>
              <w:rPr/>
            </w:pPr>
            <w:r>
              <w:rPr>
                <w:rFonts w:eastAsia="ＭＳ ゴシック;MS Gothic" w:cs="Times New Roman" w:ascii="Times New Roman" w:hAnsi="Times New Roman"/>
                <w:b/>
                <w:lang w:eastAsia="ja-JP"/>
              </w:rPr>
              <w:t>DATE</w:t>
            </w:r>
            <w:r>
              <w:rPr>
                <w:rFonts w:eastAsia="ＭＳ ゴシック;MS Gothic" w:cs="Times New Roman" w:ascii="Times New Roman" w:hAnsi="Times New Roman"/>
                <w:b/>
                <w:lang w:eastAsia="ja-JP"/>
              </w:rPr>
              <w:t>:</w:t>
            </w:r>
          </w:p>
        </w:tc>
        <w:tc>
          <w:tcPr>
            <w:tcW w:w="8097" w:type="dxa"/>
            <w:tcBorders/>
          </w:tcPr>
          <w:p>
            <w:pPr>
              <w:pStyle w:val="Normal"/>
              <w:rPr>
                <w:rFonts w:ascii="Times New Roman" w:hAnsi="Times New Roman" w:cs="Times New Roman"/>
              </w:rPr>
            </w:pPr>
            <w:r>
              <w:rPr>
                <w:rFonts w:cs="Times New Roman" w:ascii="Times New Roman" w:hAnsi="Times New Roman"/>
              </w:rPr>
              <w:t>SEPTEMBER 21, 2000</w:t>
            </w:r>
          </w:p>
        </w:tc>
      </w:tr>
      <w:tr>
        <w:trPr>
          <w:trHeight w:val="120" w:hRule="exact"/>
        </w:trPr>
        <w:tc>
          <w:tcPr>
            <w:tcW w:w="9198" w:type="dxa"/>
            <w:gridSpan w:val="2"/>
            <w:tcBorders/>
          </w:tcPr>
          <w:p>
            <w:pPr>
              <w:pStyle w:val="Normal"/>
              <w:snapToGrid w:val="false"/>
              <w:spacing w:lineRule="auto" w:line="240"/>
              <w:ind w:end="-90"/>
              <w:rPr>
                <w:rFonts w:ascii="Times New Roman" w:hAnsi="Times New Roman" w:cs="Times New Roman"/>
              </w:rPr>
            </w:pPr>
            <w:r>
              <w:rPr>
                <w:rFonts w:cs="Times New Roman" w:ascii="Times New Roman" w:hAnsi="Times New Roman"/>
              </w:rPr>
            </w:r>
          </w:p>
        </w:tc>
      </w:tr>
      <w:tr>
        <w:trPr/>
        <w:tc>
          <w:tcPr>
            <w:tcW w:w="1101" w:type="dxa"/>
            <w:tcBorders/>
          </w:tcPr>
          <w:p>
            <w:pPr>
              <w:pStyle w:val="Normal"/>
              <w:spacing w:lineRule="auto" w:line="240"/>
              <w:ind w:end="-90"/>
              <w:jc w:val="start"/>
              <w:rPr>
                <w:rFonts w:ascii="Times New Roman" w:hAnsi="Times New Roman" w:eastAsia="ＭＳ ゴシック;MS Gothic" w:cs="Times New Roman"/>
                <w:b/>
                <w:lang w:eastAsia="ja-JP"/>
              </w:rPr>
            </w:pPr>
            <w:r>
              <w:rPr>
                <w:rFonts w:eastAsia="ＭＳ ゴシック;MS Gothic" w:cs="Times New Roman" w:ascii="Times New Roman" w:hAnsi="Times New Roman"/>
                <w:b/>
                <w:lang w:eastAsia="ja-JP"/>
              </w:rPr>
              <w:t>RE:</w:t>
            </w:r>
          </w:p>
        </w:tc>
        <w:tc>
          <w:tcPr>
            <w:tcW w:w="8097" w:type="dxa"/>
            <w:tcBorders/>
          </w:tcPr>
          <w:p>
            <w:pPr>
              <w:pStyle w:val="Normal"/>
              <w:spacing w:lineRule="auto" w:line="240"/>
              <w:ind w:end="-90"/>
              <w:rPr>
                <w:rFonts w:ascii="Times New Roman" w:hAnsi="Times New Roman" w:cs="Times New Roman"/>
              </w:rPr>
            </w:pPr>
            <w:r>
              <w:rPr>
                <w:rFonts w:cs="Times New Roman" w:ascii="Times New Roman" w:hAnsi="Times New Roman"/>
              </w:rPr>
              <w:t>ENA DERIVATIVE TRADING IN JAPAN</w:t>
            </w:r>
            <w:r>
              <w:fldChar w:fldCharType="begin">
                <w:ffData>
                  <w:name w:val="Text4"/>
                  <w:enabled/>
                  <w:calcOnExit w:val="0"/>
                  <w:textInput/>
                </w:ffData>
              </w:fldChar>
            </w:r>
            <w:r>
              <w:rPr>
                <w:rFonts w:cs="Times New Roman" w:ascii="Times New Roman" w:hAnsi="Times New Roman"/>
                <w:lang w:val="en-CA"/>
              </w:rPr>
              <w:instrText xml:space="preserve"> FORMTEXT </w:instrText>
            </w:r>
            <w:r>
              <w:rPr>
                <w:rFonts w:cs="Times New Roman" w:ascii="Times New Roman" w:hAnsi="Times New Roman"/>
                <w:lang w:val="en-CA"/>
              </w:rPr>
            </w:r>
            <w:r>
              <w:rPr>
                <w:rFonts w:cs="Times New Roman" w:ascii="Times New Roman" w:hAnsi="Times New Roman"/>
                <w:lang w:val="en-CA"/>
              </w:rPr>
              <w:fldChar w:fldCharType="separate"/>
            </w:r>
            <w:r>
              <w:rPr>
                <w:rFonts w:cs="Times New Roman" w:ascii="Times New Roman" w:hAnsi="Times New Roman"/>
                <w:lang w:val="en-CA"/>
              </w:rPr>
              <w:t>     </w:t>
            </w:r>
            <w:r/>
            <w:r>
              <w:rPr>
                <w:rFonts w:cs="Times New Roman" w:ascii="Times New Roman" w:hAnsi="Times New Roman"/>
                <w:lang w:val="en-CA"/>
              </w:rPr>
              <w:fldChar w:fldCharType="end"/>
            </w:r>
            <w:r>
              <w:rPr>
                <w:rFonts w:cs="Times New Roman" w:ascii="Times New Roman" w:hAnsi="Times New Roman"/>
                <w:lang w:val="en-CA"/>
              </w:rPr>
            </w:r>
          </w:p>
        </w:tc>
      </w:tr>
    </w:tbl>
    <w:p>
      <w:pPr>
        <w:pStyle w:val="Normal"/>
        <w:ind w:end="14"/>
        <w:rPr>
          <w:rFonts w:ascii="Times New Roman" w:hAnsi="Times New Roman" w:cs="Times New Roman"/>
          <w:lang w:val="en-CA"/>
        </w:rPr>
      </w:pPr>
      <w:r>
        <w:rPr>
          <w:rFonts w:cs="Times New Roman" w:ascii="Times New Roman" w:hAnsi="Times New Roman"/>
          <w:lang w:val="en-CA"/>
        </w:rPr>
        <mc:AlternateContent>
          <mc:Choice Requires="wps">
            <w:drawing>
              <wp:anchor behindDoc="0" distT="0" distB="0" distL="114935" distR="114935" simplePos="0" locked="0" layoutInCell="1" allowOverlap="1" relativeHeight="2">
                <wp:simplePos x="0" y="0"/>
                <wp:positionH relativeFrom="column">
                  <wp:posOffset>-47625</wp:posOffset>
                </wp:positionH>
                <wp:positionV relativeFrom="paragraph">
                  <wp:posOffset>67310</wp:posOffset>
                </wp:positionV>
                <wp:extent cx="6076950" cy="0"/>
                <wp:effectExtent l="0" t="5080" r="0" b="5080"/>
                <wp:wrapNone/>
                <wp:docPr id="1" name=""/>
                <a:graphic xmlns:a="http://schemas.openxmlformats.org/drawingml/2006/main">
                  <a:graphicData uri="http://schemas.microsoft.com/office/word/2010/wordprocessingShape">
                    <wps:wsp>
                      <wps:cNvSpPr/>
                      <wps:spPr>
                        <a:xfrm>
                          <a:off x="0" y="0"/>
                          <a:ext cx="6076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5pt,5.3pt" to="474.7pt,5.3pt" stroked="t" o:allowincell="f" style="position:absolute">
                <v:stroke color="black" weight="9360" joinstyle="miter" endcap="flat"/>
                <v:fill o:detectmouseclick="t" on="false"/>
                <w10:wrap type="none"/>
              </v:line>
            </w:pict>
          </mc:Fallback>
        </mc:AlternateContent>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144" w:top="720" w:footer="720" w:bottom="1440"/>
          <w:pgNumType w:fmt="decimal"/>
          <w:formProt w:val="false"/>
          <w:titlePg/>
          <w:textDirection w:val="lrTb"/>
          <w:docGrid w:type="default" w:linePitch="360" w:charSpace="0"/>
        </w:sectPr>
      </w:pPr>
    </w:p>
    <w:p>
      <w:pPr>
        <w:pStyle w:val="Normal"/>
        <w:ind w:end="14"/>
        <w:rPr>
          <w:rFonts w:ascii="Times New Roman" w:hAnsi="Times New Roman" w:cs="Times New Roman"/>
          <w:sz w:val="23"/>
        </w:rPr>
      </w:pPr>
      <w:r>
        <w:rPr>
          <w:rFonts w:cs="Times New Roman" w:ascii="Times New Roman" w:hAnsi="Times New Roman"/>
          <w:sz w:val="23"/>
        </w:rPr>
      </w:r>
    </w:p>
    <w:p>
      <w:pPr>
        <w:pStyle w:val="BodyText"/>
        <w:rPr/>
      </w:pPr>
      <w:r>
        <w:rPr/>
        <w:t xml:space="preserve">We refer to our meeting earlier today with John Viverito, Jane McBride and Darren Delage in which we discussed the potential tax, corporate and regulatory issues which would arise if Enron North America ("ENA") commenced derivatives trading operations in Japan.  </w:t>
      </w:r>
    </w:p>
    <w:p>
      <w:pPr>
        <w:pStyle w:val="Normal"/>
        <w:ind w:end="14"/>
        <w:rPr>
          <w:sz w:val="23"/>
        </w:rPr>
      </w:pPr>
      <w:r>
        <w:rPr>
          <w:sz w:val="23"/>
        </w:rPr>
      </w:r>
    </w:p>
    <w:p>
      <w:pPr>
        <w:pStyle w:val="Normal"/>
        <w:ind w:end="14"/>
        <w:rPr>
          <w:sz w:val="23"/>
        </w:rPr>
      </w:pPr>
      <w:r>
        <w:rPr>
          <w:sz w:val="23"/>
        </w:rPr>
        <w:t xml:space="preserve">The purpose of this memorandum is to summarize the principal tax and corporate issues.  Our conclusion is that if ENA wishes, in substance, to conduct derivatives trading operations in Japan, it will need to establish a legal presence (branch) in Japan.  This branch will constitute a permanent establishment, and ENA will be required to pay Japanese tax on income attributable to the activities of this permanent establishment.  </w:t>
      </w:r>
    </w:p>
    <w:p>
      <w:pPr>
        <w:pStyle w:val="Normal"/>
        <w:ind w:end="14"/>
        <w:rPr>
          <w:sz w:val="23"/>
        </w:rPr>
      </w:pPr>
      <w:r>
        <w:rPr>
          <w:sz w:val="23"/>
        </w:rPr>
      </w:r>
    </w:p>
    <w:p>
      <w:pPr>
        <w:pStyle w:val="Normal"/>
        <w:ind w:end="14"/>
        <w:rPr>
          <w:sz w:val="23"/>
        </w:rPr>
      </w:pPr>
      <w:r>
        <w:rPr>
          <w:sz w:val="23"/>
        </w:rPr>
        <w:t>We also attach a copy of the memorandum prepared by Yukinori Watanabe and Ed Whatley on June 23, 2000 which addresses substantially the same issues.</w:t>
      </w:r>
    </w:p>
    <w:p>
      <w:pPr>
        <w:pStyle w:val="Normal"/>
        <w:ind w:end="14"/>
        <w:rPr>
          <w:sz w:val="23"/>
        </w:rPr>
      </w:pPr>
      <w:r>
        <w:rPr>
          <w:sz w:val="23"/>
        </w:rPr>
      </w:r>
    </w:p>
    <w:p>
      <w:pPr>
        <w:pStyle w:val="Normal"/>
        <w:ind w:end="14"/>
        <w:rPr>
          <w:sz w:val="23"/>
          <w:u w:val="single"/>
        </w:rPr>
      </w:pPr>
      <w:r>
        <w:rPr>
          <w:sz w:val="23"/>
          <w:u w:val="single"/>
        </w:rPr>
        <w:t>Factual Background</w:t>
      </w:r>
    </w:p>
    <w:p>
      <w:pPr>
        <w:pStyle w:val="Normal"/>
        <w:ind w:end="14"/>
        <w:rPr>
          <w:sz w:val="23"/>
          <w:u w:val="single"/>
        </w:rPr>
      </w:pPr>
      <w:r>
        <w:rPr>
          <w:sz w:val="23"/>
          <w:u w:val="single"/>
        </w:rPr>
      </w:r>
    </w:p>
    <w:p>
      <w:pPr>
        <w:pStyle w:val="Normal"/>
        <w:ind w:end="14"/>
        <w:rPr>
          <w:sz w:val="23"/>
        </w:rPr>
      </w:pPr>
      <w:r>
        <w:rPr>
          <w:sz w:val="23"/>
        </w:rPr>
        <w:t xml:space="preserve">Ideally, ENA will place a trader, Darren Delage ("DD"), in Tokyo for a six month period.  DD will be granted a limited trading authority.  Specifically DD will be permitted, subject to certain parameters set by ENA, to enter into derivatives transactions in Japan.  DD will also be responsible for marketing and negotiating these agreements.  DD will be physically located within the premises of Enron, Japan.  </w:t>
      </w:r>
    </w:p>
    <w:p>
      <w:pPr>
        <w:pStyle w:val="Normal"/>
        <w:ind w:end="14"/>
        <w:rPr>
          <w:sz w:val="23"/>
        </w:rPr>
      </w:pPr>
      <w:r>
        <w:rPr>
          <w:sz w:val="23"/>
        </w:rPr>
      </w:r>
    </w:p>
    <w:p>
      <w:pPr>
        <w:pStyle w:val="Normal"/>
        <w:ind w:end="14"/>
        <w:rPr>
          <w:sz w:val="23"/>
        </w:rPr>
      </w:pPr>
      <w:r>
        <w:rPr>
          <w:sz w:val="23"/>
        </w:rPr>
      </w:r>
    </w:p>
    <w:p>
      <w:pPr>
        <w:pStyle w:val="Normal"/>
        <w:ind w:end="14"/>
        <w:rPr>
          <w:sz w:val="23"/>
        </w:rPr>
      </w:pPr>
      <w:r>
        <w:rPr>
          <w:sz w:val="23"/>
        </w:rPr>
      </w:r>
    </w:p>
    <w:p>
      <w:pPr>
        <w:pStyle w:val="Normal"/>
        <w:ind w:end="14"/>
        <w:rPr>
          <w:sz w:val="23"/>
        </w:rPr>
      </w:pPr>
      <w:r>
        <w:rPr>
          <w:sz w:val="23"/>
        </w:rPr>
      </w:r>
    </w:p>
    <w:p>
      <w:pPr>
        <w:pStyle w:val="Normal"/>
        <w:ind w:end="14"/>
        <w:rPr/>
      </w:pPr>
      <w:r>
        <w:rPr>
          <w:sz w:val="23"/>
        </w:rPr>
        <w:t>1.</w:t>
        <w:tab/>
      </w:r>
      <w:r>
        <w:rPr>
          <w:sz w:val="23"/>
          <w:u w:val="single"/>
        </w:rPr>
        <w:t>Use of an ENA Presence in Japan</w:t>
      </w:r>
    </w:p>
    <w:p>
      <w:pPr>
        <w:pStyle w:val="Normal"/>
        <w:ind w:start="720" w:end="14"/>
        <w:rPr>
          <w:sz w:val="23"/>
          <w:u w:val="single"/>
        </w:rPr>
      </w:pPr>
      <w:r>
        <w:rPr>
          <w:sz w:val="23"/>
          <w:u w:val="single"/>
        </w:rPr>
      </w:r>
    </w:p>
    <w:p>
      <w:pPr>
        <w:pStyle w:val="Normal"/>
        <w:ind w:hanging="720" w:start="720" w:end="14"/>
        <w:rPr/>
      </w:pPr>
      <w:r>
        <w:rPr>
          <w:sz w:val="23"/>
        </w:rPr>
        <w:t>1.1</w:t>
        <w:tab/>
      </w:r>
      <w:r>
        <w:rPr>
          <w:sz w:val="23"/>
          <w:u w:val="single"/>
        </w:rPr>
        <w:t>Commercial Registration</w:t>
      </w:r>
      <w:r>
        <w:rPr>
          <w:sz w:val="23"/>
        </w:rPr>
        <w:t xml:space="preserve">.  If DD is an employee of ENA and is based in Japan, ENA will be regarded as having a presence in Japan.  If this presence conducts commercial activities, it must be registered as a branch. To avoid commercial registration, it would be necessary to ensure that the presence did not conduct commercial activities.  Non-commercial activities are generally defined as being liaison activities where the presence in Japan merely provides information regarding Japanese markets and does not actively engage in trading activities.  </w:t>
      </w:r>
    </w:p>
    <w:p>
      <w:pPr>
        <w:pStyle w:val="Normal"/>
        <w:ind w:hanging="720" w:start="720" w:end="14"/>
        <w:rPr>
          <w:sz w:val="23"/>
        </w:rPr>
      </w:pPr>
      <w:r>
        <w:rPr>
          <w:sz w:val="23"/>
        </w:rPr>
      </w:r>
    </w:p>
    <w:p>
      <w:pPr>
        <w:pStyle w:val="Normal"/>
        <w:ind w:hanging="720" w:start="720" w:end="14"/>
        <w:rPr/>
      </w:pPr>
      <w:r>
        <w:rPr>
          <w:sz w:val="23"/>
        </w:rPr>
        <w:t>1.1</w:t>
        <w:tab/>
      </w:r>
      <w:r>
        <w:rPr>
          <w:sz w:val="23"/>
          <w:u w:val="single"/>
        </w:rPr>
        <w:t>Taxation</w:t>
      </w:r>
      <w:r>
        <w:rPr>
          <w:sz w:val="23"/>
        </w:rPr>
        <w:t>.  If DD is an employee of ENA and is based in Japan, ENA will be regarded as having a fixed place of business in Japan.  A fixed place of business constitutes a permanent establishment under both domestic Japanese tax laws and under the US-Japan tax treaty</w:t>
      </w:r>
      <w:r>
        <w:rPr>
          <w:rStyle w:val="FootnoteCharacters"/>
          <w:rStyle w:val="FootnoteReference"/>
          <w:sz w:val="14"/>
        </w:rPr>
        <w:footnoteReference w:id="3"/>
      </w:r>
      <w:r>
        <w:rPr>
          <w:sz w:val="23"/>
        </w:rPr>
        <w:t>.</w:t>
      </w:r>
    </w:p>
    <w:p>
      <w:pPr>
        <w:pStyle w:val="Normal"/>
        <w:ind w:end="14"/>
        <w:rPr>
          <w:sz w:val="23"/>
        </w:rPr>
      </w:pPr>
      <w:r>
        <w:rPr>
          <w:sz w:val="23"/>
        </w:rPr>
      </w:r>
    </w:p>
    <w:p>
      <w:pPr>
        <w:pStyle w:val="BlockText"/>
        <w:rPr>
          <w:sz w:val="23"/>
        </w:rPr>
      </w:pPr>
      <w:r>
        <w:rPr>
          <w:sz w:val="23"/>
        </w:rPr>
        <w:t>If the activities performed by this fixed place of business are merely "preparatory or auxiliary" the activities of the permanent establishment will not be taxable in Japan.  As with the commercial law issues discussed above, pure liaison activities in which a representative simply gathers and disseminates information are generally regarded as being preparatory or auxiliary.  However, if the representative engages in trading or marketing activities, these may be considered to be more than merely preparatory or auxiliary activities and the permanent establishment will be taxable in Japan on income derived by ENA which is attributable to that permanent establishment.</w:t>
      </w:r>
    </w:p>
    <w:p>
      <w:pPr>
        <w:pStyle w:val="BlockText"/>
        <w:rPr>
          <w:sz w:val="23"/>
        </w:rPr>
      </w:pPr>
      <w:r>
        <w:rPr>
          <w:sz w:val="23"/>
        </w:rPr>
      </w:r>
    </w:p>
    <w:p>
      <w:pPr>
        <w:pStyle w:val="BlockText"/>
        <w:rPr>
          <w:sz w:val="23"/>
        </w:rPr>
      </w:pPr>
      <w:r>
        <w:rPr>
          <w:sz w:val="23"/>
        </w:rPr>
        <w:t>It may be possible to argue that the issue of the level of income that will be attributable to the permanent establishment is essentially a transfer pricing issue (the alternative being that the tax authorities would argue that all of the income from these trading activities should be taxed in Japan).  If the Japanese tax authorities can be persuaded to adopt transfer pricing analysis, and depending on the anticipated level of activities that ENA will conduct in Japan, ENA may wish to consider entering into an advanced pricing agreement with the Japanese taxation authorities.</w:t>
      </w:r>
    </w:p>
    <w:p>
      <w:pPr>
        <w:pStyle w:val="BlockText"/>
        <w:rPr>
          <w:sz w:val="23"/>
        </w:rPr>
      </w:pPr>
      <w:r>
        <w:rPr>
          <w:sz w:val="23"/>
        </w:rPr>
      </w:r>
    </w:p>
    <w:p>
      <w:pPr>
        <w:pStyle w:val="BlockText"/>
        <w:ind w:start="0" w:end="14"/>
        <w:rPr/>
      </w:pPr>
      <w:r>
        <w:rPr>
          <w:sz w:val="23"/>
        </w:rPr>
        <w:t>2.</w:t>
        <w:tab/>
      </w:r>
      <w:r>
        <w:rPr>
          <w:sz w:val="23"/>
          <w:u w:val="single"/>
        </w:rPr>
        <w:t>Use of Enron Japan or Other Affiliates in Japan</w:t>
      </w:r>
    </w:p>
    <w:p>
      <w:pPr>
        <w:pStyle w:val="BlockText"/>
        <w:ind w:start="0" w:end="14"/>
        <w:rPr>
          <w:sz w:val="23"/>
          <w:u w:val="single"/>
        </w:rPr>
      </w:pPr>
      <w:r>
        <w:rPr>
          <w:sz w:val="23"/>
          <w:u w:val="single"/>
        </w:rPr>
      </w:r>
    </w:p>
    <w:p>
      <w:pPr>
        <w:pStyle w:val="BlockText"/>
        <w:ind w:hanging="720" w:end="14"/>
        <w:rPr/>
      </w:pPr>
      <w:r>
        <w:rPr>
          <w:sz w:val="23"/>
        </w:rPr>
        <w:t xml:space="preserve">2.1 </w:t>
        <w:tab/>
      </w:r>
      <w:r>
        <w:rPr>
          <w:sz w:val="23"/>
          <w:u w:val="single"/>
        </w:rPr>
        <w:t>Structure</w:t>
      </w:r>
      <w:r>
        <w:rPr>
          <w:sz w:val="23"/>
        </w:rPr>
        <w:t>:  It would also be possible for DD to transfer to Enron Japan or another Enron affiliate in Japan (collectively “EJ”) and for EJ to provide services to ENA through this arrangement.  Since Enron Japan is already registered in Japan as a corporation, no further corporate registration issues will arise</w:t>
      </w:r>
      <w:r>
        <w:rPr>
          <w:rStyle w:val="FootnoteCharacters"/>
          <w:rStyle w:val="FootnoteReference"/>
        </w:rPr>
        <w:footnoteReference w:id="4"/>
      </w:r>
      <w:r>
        <w:rPr>
          <w:sz w:val="23"/>
        </w:rPr>
        <w:t>.  With this structure, an issue will arise as to whether EJ constitutes a permanent establishment for ENA.</w:t>
      </w:r>
    </w:p>
    <w:p>
      <w:pPr>
        <w:pStyle w:val="BlockText"/>
        <w:ind w:hanging="720" w:end="14"/>
        <w:rPr>
          <w:sz w:val="23"/>
          <w:u w:val="single"/>
        </w:rPr>
      </w:pPr>
      <w:r>
        <w:rPr>
          <w:sz w:val="23"/>
          <w:u w:val="single"/>
        </w:rPr>
      </w:r>
    </w:p>
    <w:p>
      <w:pPr>
        <w:pStyle w:val="Normal"/>
        <w:ind w:hanging="720" w:start="720" w:end="0"/>
        <w:rPr/>
      </w:pPr>
      <w:r>
        <w:rPr>
          <w:rFonts w:cs="Times New Roman" w:ascii="Times New Roman" w:hAnsi="Times New Roman"/>
          <w:sz w:val="23"/>
        </w:rPr>
        <w:t>2.2</w:t>
        <w:tab/>
      </w:r>
      <w:r>
        <w:rPr>
          <w:rFonts w:cs="Times New Roman" w:ascii="Times New Roman" w:hAnsi="Times New Roman"/>
          <w:sz w:val="23"/>
          <w:u w:val="single"/>
        </w:rPr>
        <w:t>Domestic PE Rules</w:t>
      </w:r>
      <w:r>
        <w:rPr>
          <w:rFonts w:cs="Times New Roman" w:ascii="Times New Roman" w:hAnsi="Times New Roman"/>
          <w:sz w:val="23"/>
        </w:rPr>
        <w:t>:  Under Japanese domestic law, a foreign company will have a permanent establishment in Japan if its agent, amongst other things, habitually exercises an authority to conclude contracts for or on behalf of a foreign corporation in connection with its business.</w:t>
      </w:r>
    </w:p>
    <w:p>
      <w:pPr>
        <w:pStyle w:val="Normal"/>
        <w:ind w:hanging="720" w:start="720" w:end="0"/>
        <w:rPr>
          <w:rFonts w:ascii="Times New Roman" w:hAnsi="Times New Roman" w:cs="Times New Roman"/>
          <w:sz w:val="23"/>
        </w:rPr>
      </w:pPr>
      <w:r>
        <w:rPr>
          <w:rFonts w:cs="Times New Roman" w:ascii="Times New Roman" w:hAnsi="Times New Roman"/>
          <w:sz w:val="23"/>
        </w:rPr>
      </w:r>
    </w:p>
    <w:p>
      <w:pPr>
        <w:pStyle w:val="Normal"/>
        <w:ind w:hanging="720" w:start="720" w:end="0"/>
        <w:rPr/>
      </w:pPr>
      <w:r>
        <w:rPr>
          <w:rFonts w:cs="Times New Roman" w:ascii="Times New Roman" w:hAnsi="Times New Roman"/>
          <w:sz w:val="23"/>
        </w:rPr>
        <w:tab/>
        <w:t>Under Japanese law, the phrase "conclude contracts" is interpreted to include the negotiation of "important" contract terms.  Thus, an agent may "conclude" a contract even if it is signed by others</w:t>
      </w:r>
      <w:r>
        <w:rPr>
          <w:rFonts w:cs="Times New Roman" w:ascii="Times New Roman" w:hAnsi="Times New Roman"/>
          <w:sz w:val="23"/>
        </w:rPr>
        <w:t xml:space="preserve">.  </w:t>
      </w:r>
      <w:r>
        <w:rPr>
          <w:rFonts w:cs="Times New Roman" w:ascii="Times New Roman" w:hAnsi="Times New Roman"/>
          <w:sz w:val="23"/>
        </w:rPr>
        <w:t xml:space="preserve">  </w:t>
      </w:r>
    </w:p>
    <w:p>
      <w:pPr>
        <w:pStyle w:val="Normal"/>
        <w:ind w:hanging="720" w:start="720" w:end="0"/>
        <w:rPr>
          <w:rFonts w:ascii="Times New Roman" w:hAnsi="Times New Roman" w:cs="Times New Roman"/>
          <w:sz w:val="23"/>
        </w:rPr>
      </w:pPr>
      <w:r>
        <w:rPr>
          <w:rFonts w:cs="Times New Roman" w:ascii="Times New Roman" w:hAnsi="Times New Roman"/>
          <w:sz w:val="23"/>
        </w:rPr>
      </w:r>
    </w:p>
    <w:p>
      <w:pPr>
        <w:pStyle w:val="Normal"/>
        <w:ind w:hanging="720" w:start="720" w:end="0"/>
        <w:rPr/>
      </w:pPr>
      <w:r>
        <w:rPr>
          <w:rFonts w:cs="Times New Roman" w:ascii="Times New Roman" w:hAnsi="Times New Roman"/>
          <w:sz w:val="23"/>
        </w:rPr>
        <w:t>2.3</w:t>
        <w:tab/>
      </w:r>
      <w:r>
        <w:rPr>
          <w:rFonts w:cs="Times New Roman" w:ascii="Times New Roman" w:hAnsi="Times New Roman"/>
          <w:sz w:val="23"/>
          <w:u w:val="single"/>
        </w:rPr>
        <w:t>Tax Treaty PE Rules</w:t>
      </w:r>
      <w:r>
        <w:rPr>
          <w:rFonts w:cs="Times New Roman" w:ascii="Times New Roman" w:hAnsi="Times New Roman"/>
          <w:sz w:val="23"/>
        </w:rPr>
        <w:t>:</w:t>
      </w:r>
      <w:r>
        <w:rPr>
          <w:rFonts w:cs="Times New Roman" w:ascii="Times New Roman" w:hAnsi="Times New Roman"/>
          <w:b/>
          <w:i/>
          <w:sz w:val="23"/>
        </w:rPr>
        <w:t xml:space="preserve">  </w:t>
      </w:r>
      <w:r>
        <w:rPr>
          <w:rFonts w:cs="Times New Roman" w:ascii="Times New Roman" w:hAnsi="Times New Roman"/>
          <w:sz w:val="23"/>
        </w:rPr>
        <w:t xml:space="preserve">The US-Japan Tax Treaty provides some relief from the application of these domestic rules.  However, even under the treaty, an agent who habitually exercises authority to conclude contracts in the name of a foreign company is a permanent establishment of the foreign company, unless the agent has an independent status.  </w:t>
      </w:r>
    </w:p>
    <w:p>
      <w:pPr>
        <w:pStyle w:val="Normal"/>
        <w:rPr>
          <w:rFonts w:ascii="Times New Roman" w:hAnsi="Times New Roman" w:cs="Times New Roman"/>
          <w:sz w:val="23"/>
        </w:rPr>
      </w:pPr>
      <w:r>
        <w:rPr>
          <w:rFonts w:cs="Times New Roman" w:ascii="Times New Roman" w:hAnsi="Times New Roman"/>
          <w:sz w:val="23"/>
        </w:rPr>
      </w:r>
    </w:p>
    <w:p>
      <w:pPr>
        <w:pStyle w:val="Normal"/>
        <w:ind w:start="720" w:end="0"/>
        <w:rPr>
          <w:rFonts w:ascii="Times New Roman" w:hAnsi="Times New Roman" w:cs="Times New Roman"/>
          <w:sz w:val="23"/>
        </w:rPr>
      </w:pPr>
      <w:r>
        <w:rPr>
          <w:rFonts w:cs="Times New Roman" w:ascii="Times New Roman" w:hAnsi="Times New Roman"/>
          <w:sz w:val="23"/>
        </w:rPr>
        <w:t xml:space="preserve">The Japanese authorities interpret the meaning of "conclusion of a contract" broadly.  As mentioned in the discussion of domestic law above, they do not limit to the provision to final execution of the contract, but rather interpret the clause to include the negotiation of the principal elements of the contract.  </w:t>
      </w:r>
    </w:p>
    <w:p>
      <w:pPr>
        <w:pStyle w:val="Normal"/>
        <w:ind w:start="720" w:end="0"/>
        <w:rPr>
          <w:rFonts w:ascii="Times New Roman" w:hAnsi="Times New Roman" w:cs="Times New Roman"/>
          <w:sz w:val="23"/>
        </w:rPr>
      </w:pPr>
      <w:r>
        <w:rPr>
          <w:rFonts w:cs="Times New Roman" w:ascii="Times New Roman" w:hAnsi="Times New Roman"/>
          <w:sz w:val="23"/>
        </w:rPr>
      </w:r>
    </w:p>
    <w:p>
      <w:pPr>
        <w:pStyle w:val="Normal"/>
        <w:ind w:hanging="630" w:start="720" w:end="0"/>
        <w:rPr/>
      </w:pPr>
      <w:r>
        <w:rPr>
          <w:rFonts w:cs="Times New Roman" w:ascii="Times New Roman" w:hAnsi="Times New Roman"/>
          <w:sz w:val="23"/>
        </w:rPr>
        <w:t>2.4</w:t>
        <w:tab/>
      </w:r>
      <w:r>
        <w:rPr>
          <w:rFonts w:cs="Times New Roman" w:ascii="Times New Roman" w:hAnsi="Times New Roman"/>
          <w:sz w:val="23"/>
          <w:u w:val="single"/>
        </w:rPr>
        <w:t>Independent Agent</w:t>
      </w:r>
      <w:r>
        <w:rPr>
          <w:rFonts w:cs="Times New Roman" w:ascii="Times New Roman" w:hAnsi="Times New Roman"/>
          <w:sz w:val="23"/>
        </w:rPr>
        <w:t>: If EJ is regarded as being a contract concluding agent for ENA, it will still be possible to avoid the conclusion that EJ is a permanent establishment if ENA is able to show that EJ is an independent agent.  This "independence" requirement comes from the US-Japan Treaty, which provides that:</w:t>
      </w:r>
    </w:p>
    <w:p>
      <w:pPr>
        <w:pStyle w:val="Normal"/>
        <w:ind w:start="720" w:end="0"/>
        <w:rPr>
          <w:rFonts w:ascii="Times New Roman" w:hAnsi="Times New Roman" w:cs="Times New Roman"/>
          <w:sz w:val="23"/>
        </w:rPr>
      </w:pPr>
      <w:r>
        <w:rPr>
          <w:rFonts w:cs="Times New Roman" w:ascii="Times New Roman" w:hAnsi="Times New Roman"/>
          <w:sz w:val="23"/>
        </w:rPr>
      </w:r>
    </w:p>
    <w:p>
      <w:pPr>
        <w:pStyle w:val="Normal"/>
        <w:ind w:start="720" w:end="0"/>
        <w:rPr>
          <w:i/>
          <w:i/>
          <w:sz w:val="23"/>
        </w:rPr>
      </w:pPr>
      <w:r>
        <w:rPr>
          <w:i/>
          <w:sz w:val="23"/>
        </w:rPr>
        <w:t>Article 9(5) A resident of a Contracting State shall not be deemed to have a permanent establishment in the other Contracting State merely because such resident engages in industrial or commercial activity in that other Contracting State through a broker, general commission agent, or any other agent of an independent status, where such broker or agent is acting in the ordinary course of his business.</w:t>
      </w:r>
    </w:p>
    <w:p>
      <w:pPr>
        <w:pStyle w:val="Normal"/>
        <w:ind w:start="720" w:end="0"/>
        <w:rPr>
          <w:i/>
          <w:i/>
          <w:sz w:val="23"/>
        </w:rPr>
      </w:pPr>
      <w:r>
        <w:rPr>
          <w:i/>
          <w:sz w:val="23"/>
        </w:rPr>
      </w:r>
    </w:p>
    <w:p>
      <w:pPr>
        <w:pStyle w:val="BodyTextIndent3"/>
        <w:ind w:start="720" w:end="0"/>
        <w:rPr/>
      </w:pPr>
      <w:r>
        <w:rPr/>
        <w:t>For an agent to be independent, it must be independent of the principal both legally and economically.  The agent must also be acting in the ordinary course of its (own) business when acting on behalf of the principal.  A Japanese trading company such as Itochu is the typical independent agent.  It enters into commission agreements with a number of different principals and is dependent on none.  The commission income it earns is in the ordinary course of its trading business.  A Japanese trading company, therefore, is the model of an independent commission agent.</w:t>
      </w:r>
    </w:p>
    <w:p>
      <w:pPr>
        <w:pStyle w:val="Normal"/>
        <w:ind w:start="851" w:end="0"/>
        <w:rPr>
          <w:rFonts w:ascii="Times New Roman" w:hAnsi="Times New Roman" w:cs="Times New Roman"/>
          <w:sz w:val="23"/>
        </w:rPr>
      </w:pPr>
      <w:r>
        <w:rPr>
          <w:rFonts w:cs="Times New Roman" w:ascii="Times New Roman" w:hAnsi="Times New Roman"/>
          <w:sz w:val="23"/>
        </w:rPr>
      </w:r>
    </w:p>
    <w:p>
      <w:pPr>
        <w:pStyle w:val="BlockText"/>
        <w:ind w:hanging="720" w:end="14"/>
        <w:rPr/>
      </w:pPr>
      <w:r>
        <w:rPr>
          <w:rFonts w:cs="Times New Roman" w:ascii="Times New Roman" w:hAnsi="Times New Roman"/>
          <w:sz w:val="23"/>
        </w:rPr>
        <w:t>2.5</w:t>
        <w:tab/>
      </w:r>
      <w:r>
        <w:rPr>
          <w:rFonts w:cs="Times New Roman" w:ascii="Times New Roman" w:hAnsi="Times New Roman"/>
          <w:sz w:val="23"/>
          <w:u w:val="single"/>
        </w:rPr>
        <w:t>Application of Contract Concluding Agent Principles</w:t>
      </w:r>
      <w:r>
        <w:rPr>
          <w:rFonts w:cs="Times New Roman" w:ascii="Times New Roman" w:hAnsi="Times New Roman"/>
          <w:sz w:val="23"/>
        </w:rPr>
        <w:t>: To ensure that the activities of EJ do not amount to contract concluding activities it would be necessary to show that, as a matter of substantive fact:</w:t>
      </w:r>
    </w:p>
    <w:p>
      <w:pPr>
        <w:pStyle w:val="BlockText"/>
        <w:ind w:hanging="720" w:start="1440" w:end="14"/>
        <w:rPr>
          <w:rFonts w:ascii="Times New Roman" w:hAnsi="Times New Roman" w:cs="Times New Roman"/>
          <w:sz w:val="23"/>
        </w:rPr>
      </w:pPr>
      <w:r>
        <w:rPr>
          <w:rFonts w:cs="Times New Roman" w:ascii="Times New Roman" w:hAnsi="Times New Roman"/>
          <w:sz w:val="23"/>
        </w:rPr>
      </w:r>
    </w:p>
    <w:p>
      <w:pPr>
        <w:pStyle w:val="BlockText"/>
        <w:ind w:hanging="720" w:start="1440" w:end="14"/>
        <w:rPr>
          <w:rFonts w:ascii="Times New Roman" w:hAnsi="Times New Roman" w:cs="Times New Roman"/>
          <w:sz w:val="23"/>
        </w:rPr>
      </w:pPr>
      <w:r>
        <w:rPr>
          <w:rFonts w:cs="Times New Roman" w:ascii="Times New Roman" w:hAnsi="Times New Roman"/>
          <w:sz w:val="23"/>
        </w:rPr>
        <w:t>(a)</w:t>
        <w:tab/>
        <w:t xml:space="preserve">EJ does not have the authority to execute contracts on behalf of ENA; </w:t>
      </w:r>
    </w:p>
    <w:p>
      <w:pPr>
        <w:pStyle w:val="BlockText"/>
        <w:ind w:hanging="720" w:start="1440" w:end="14"/>
        <w:rPr>
          <w:rFonts w:ascii="Times New Roman" w:hAnsi="Times New Roman" w:cs="Times New Roman"/>
          <w:sz w:val="23"/>
        </w:rPr>
      </w:pPr>
      <w:r>
        <w:rPr>
          <w:rFonts w:cs="Times New Roman" w:ascii="Times New Roman" w:hAnsi="Times New Roman"/>
          <w:sz w:val="23"/>
        </w:rPr>
      </w:r>
    </w:p>
    <w:p>
      <w:pPr>
        <w:pStyle w:val="Normal"/>
        <w:ind w:hanging="720" w:start="720" w:end="0"/>
        <w:rPr>
          <w:rFonts w:ascii="Times New Roman" w:hAnsi="Times New Roman" w:cs="Times New Roman"/>
          <w:sz w:val="23"/>
        </w:rPr>
      </w:pPr>
      <w:r>
        <w:rPr>
          <w:rFonts w:cs="Times New Roman" w:ascii="Times New Roman" w:hAnsi="Times New Roman"/>
          <w:sz w:val="23"/>
        </w:rPr>
        <w:tab/>
        <w:t>(b)</w:t>
        <w:tab/>
        <w:t>all transaction documents are executed by ENA outside Japan;</w:t>
      </w:r>
    </w:p>
    <w:p>
      <w:pPr>
        <w:pStyle w:val="Normal"/>
        <w:ind w:hanging="720" w:start="720" w:end="0"/>
        <w:rPr>
          <w:rFonts w:ascii="Times New Roman" w:hAnsi="Times New Roman" w:cs="Times New Roman"/>
          <w:sz w:val="23"/>
        </w:rPr>
      </w:pPr>
      <w:r>
        <w:rPr>
          <w:rFonts w:cs="Times New Roman" w:ascii="Times New Roman" w:hAnsi="Times New Roman"/>
          <w:sz w:val="23"/>
        </w:rPr>
      </w:r>
    </w:p>
    <w:p>
      <w:pPr>
        <w:pStyle w:val="BodyTextIndent2"/>
        <w:ind w:hanging="720" w:start="1440" w:end="0"/>
        <w:rPr/>
      </w:pPr>
      <w:r>
        <w:rPr/>
        <w:t>(c)</w:t>
        <w:tab/>
        <w:t>decisions in relation to important matters (including credit and pricing decisions) are made outside Japan; and</w:t>
      </w:r>
    </w:p>
    <w:p>
      <w:pPr>
        <w:pStyle w:val="Normal"/>
        <w:ind w:hanging="720" w:start="1440" w:end="0"/>
        <w:rPr>
          <w:rFonts w:ascii="Times New Roman" w:hAnsi="Times New Roman" w:cs="Times New Roman"/>
          <w:sz w:val="23"/>
        </w:rPr>
      </w:pPr>
      <w:r>
        <w:rPr>
          <w:rFonts w:cs="Times New Roman" w:ascii="Times New Roman" w:hAnsi="Times New Roman"/>
          <w:sz w:val="23"/>
        </w:rPr>
      </w:r>
    </w:p>
    <w:p>
      <w:pPr>
        <w:pStyle w:val="BlockText"/>
        <w:ind w:hanging="720" w:start="1440" w:end="14"/>
        <w:rPr>
          <w:rFonts w:ascii="Times New Roman" w:hAnsi="Times New Roman" w:cs="Times New Roman"/>
          <w:sz w:val="23"/>
        </w:rPr>
      </w:pPr>
      <w:r>
        <w:rPr>
          <w:rFonts w:cs="Times New Roman" w:ascii="Times New Roman" w:hAnsi="Times New Roman"/>
          <w:sz w:val="23"/>
        </w:rPr>
        <w:t>(d)</w:t>
        <w:tab/>
        <w:t>the role of EJ in relation to important matters is limited to that of a “conduit” (i.e., EJ simply passes information back and forth between ENA and the Japanese counterparty).</w:t>
      </w:r>
    </w:p>
    <w:p>
      <w:pPr>
        <w:pStyle w:val="BlockText"/>
        <w:ind w:hanging="720" w:start="1440" w:end="14"/>
        <w:rPr>
          <w:rFonts w:ascii="Times New Roman" w:hAnsi="Times New Roman" w:cs="Times New Roman"/>
          <w:sz w:val="23"/>
        </w:rPr>
      </w:pPr>
      <w:r>
        <w:rPr>
          <w:rFonts w:cs="Times New Roman" w:ascii="Times New Roman" w:hAnsi="Times New Roman"/>
          <w:sz w:val="23"/>
        </w:rPr>
      </w:r>
    </w:p>
    <w:p>
      <w:pPr>
        <w:pStyle w:val="BlockText"/>
        <w:rPr>
          <w:rFonts w:ascii="Times New Roman" w:hAnsi="Times New Roman" w:cs="Times New Roman"/>
          <w:sz w:val="23"/>
        </w:rPr>
      </w:pPr>
      <w:r>
        <w:rPr>
          <w:rFonts w:cs="Times New Roman" w:ascii="Times New Roman" w:hAnsi="Times New Roman"/>
          <w:sz w:val="23"/>
        </w:rPr>
        <w:t>As a practical matter, given that DD has indicated that he will need the authority to enter into contracts in the Japanese time zone, it may not be possible to satisfy these conditions.</w:t>
      </w:r>
    </w:p>
    <w:p>
      <w:pPr>
        <w:pStyle w:val="BlockText"/>
        <w:rPr>
          <w:rFonts w:ascii="Times New Roman" w:hAnsi="Times New Roman" w:cs="Times New Roman"/>
          <w:sz w:val="23"/>
        </w:rPr>
      </w:pPr>
      <w:r>
        <w:rPr>
          <w:rFonts w:cs="Times New Roman" w:ascii="Times New Roman" w:hAnsi="Times New Roman"/>
          <w:sz w:val="23"/>
        </w:rPr>
      </w:r>
    </w:p>
    <w:p>
      <w:pPr>
        <w:pStyle w:val="BlockText"/>
        <w:ind w:hanging="720" w:end="14"/>
        <w:rPr/>
      </w:pPr>
      <w:r>
        <w:rPr>
          <w:sz w:val="23"/>
        </w:rPr>
        <w:t>2.6</w:t>
        <w:tab/>
      </w:r>
      <w:r>
        <w:rPr>
          <w:sz w:val="23"/>
          <w:u w:val="single"/>
        </w:rPr>
        <w:t>Application of the Independent Agent Principles</w:t>
      </w:r>
      <w:r>
        <w:rPr>
          <w:sz w:val="23"/>
        </w:rPr>
        <w:t xml:space="preserve">:  In this case, it is our understanding that EJ does not currently perform activities similar to those it performs for ENA for other third parties.  Overall, our view is that there is a substantial risk that the tax authorities might treat EJ as a dependent agent.  </w:t>
      </w:r>
    </w:p>
    <w:p>
      <w:pPr>
        <w:pStyle w:val="Normal"/>
        <w:ind w:hanging="851" w:start="851" w:end="0"/>
        <w:rPr>
          <w:rFonts w:ascii="Times New Roman" w:hAnsi="Times New Roman" w:cs="Times New Roman"/>
          <w:sz w:val="23"/>
        </w:rPr>
      </w:pPr>
      <w:r>
        <w:rPr>
          <w:rFonts w:cs="Times New Roman" w:ascii="Times New Roman" w:hAnsi="Times New Roman"/>
          <w:sz w:val="23"/>
        </w:rPr>
        <w:tab/>
      </w:r>
    </w:p>
    <w:p>
      <w:pPr>
        <w:pStyle w:val="Normal"/>
        <w:ind w:hanging="720" w:start="720" w:end="0"/>
        <w:rPr/>
      </w:pPr>
      <w:r>
        <w:rPr>
          <w:rFonts w:cs="Times New Roman" w:ascii="Times New Roman" w:hAnsi="Times New Roman"/>
          <w:sz w:val="23"/>
        </w:rPr>
        <w:t>2.7</w:t>
        <w:tab/>
      </w:r>
      <w:r>
        <w:rPr>
          <w:rFonts w:cs="Times New Roman" w:ascii="Times New Roman" w:hAnsi="Times New Roman"/>
          <w:sz w:val="23"/>
          <w:u w:val="single"/>
        </w:rPr>
        <w:t>Other Factors</w:t>
      </w:r>
      <w:r>
        <w:rPr>
          <w:rFonts w:cs="Times New Roman" w:ascii="Times New Roman" w:hAnsi="Times New Roman"/>
          <w:sz w:val="23"/>
        </w:rPr>
        <w:t>:  Although not technically relevant to a technical discussion of the issue of whether a permanent establishment exists, the level of remuneration derived by EJ will have some bearing on the approach that the Japanese tax authorities adopt.  Thus, if the tax authorities accept that the level of remuneration derived by EJ is equivalent to an arm’s length allocation of the profit arising from transactions having regard to the functions performed by EJ, the tax authorities are less likely to try to argue that ENA has a taxable permanent establishment in Japan.</w:t>
      </w:r>
    </w:p>
    <w:p>
      <w:pPr>
        <w:pStyle w:val="Normal"/>
        <w:ind w:hanging="720" w:start="720" w:end="0"/>
        <w:rPr>
          <w:rFonts w:ascii="Times New Roman" w:hAnsi="Times New Roman" w:cs="Times New Roman"/>
          <w:sz w:val="23"/>
          <w:u w:val="single"/>
        </w:rPr>
      </w:pPr>
      <w:r>
        <w:rPr>
          <w:rFonts w:cs="Times New Roman" w:ascii="Times New Roman" w:hAnsi="Times New Roman"/>
          <w:sz w:val="23"/>
          <w:u w:val="single"/>
        </w:rPr>
      </w:r>
    </w:p>
    <w:p>
      <w:pPr>
        <w:pStyle w:val="BlockText"/>
        <w:ind w:hanging="720" w:end="14"/>
        <w:rPr/>
      </w:pPr>
      <w:r>
        <w:rPr>
          <w:sz w:val="23"/>
        </w:rPr>
        <w:t>2.8</w:t>
        <w:tab/>
      </w:r>
      <w:r>
        <w:rPr>
          <w:sz w:val="23"/>
          <w:u w:val="single"/>
        </w:rPr>
        <w:t>Service Fee</w:t>
      </w:r>
      <w:r>
        <w:rPr>
          <w:sz w:val="23"/>
        </w:rPr>
        <w:t>:  Whether or not these conditions are satisfied, an issue will also arise as to the level of fee to be paid by ENA to EJ for the provision of these services.  Since EJ and ENA are related, this fee must be set at an arm’s length price under the Japanese transfer pricing rules.  The level of this arm’s length price will, again, depend on the functions and activities performed by EJ.  However, if the level of services is relatively low, it may be possible to set the fee on a “cost-plus” basis.</w:t>
      </w:r>
    </w:p>
    <w:p>
      <w:pPr>
        <w:pStyle w:val="BlockText"/>
        <w:ind w:hanging="720" w:end="14"/>
        <w:rPr>
          <w:sz w:val="23"/>
        </w:rPr>
      </w:pPr>
      <w:r>
        <w:rPr>
          <w:sz w:val="23"/>
        </w:rPr>
      </w:r>
    </w:p>
    <w:p>
      <w:pPr>
        <w:pStyle w:val="BlockText"/>
        <w:ind w:start="0" w:end="14"/>
        <w:rPr>
          <w:sz w:val="23"/>
        </w:rPr>
      </w:pPr>
      <w:r>
        <w:rPr>
          <w:sz w:val="23"/>
        </w:rPr>
        <w:t>We note that this memorandum raises a number of complex issues that warrant further discussion before a final decision is made.  Please let us know if you need further information on these issues at this stage.</w:t>
      </w:r>
    </w:p>
    <w:p>
      <w:pPr>
        <w:pStyle w:val="BlockText"/>
        <w:ind w:start="0" w:end="14"/>
        <w:rPr>
          <w:sz w:val="23"/>
        </w:rPr>
      </w:pPr>
      <w:r>
        <w:rPr>
          <w:sz w:val="23"/>
        </w:rPr>
      </w:r>
    </w:p>
    <w:p>
      <w:pPr>
        <w:pStyle w:val="BlockText"/>
        <w:ind w:start="0" w:end="14"/>
        <w:rPr>
          <w:sz w:val="23"/>
        </w:rPr>
      </w:pPr>
      <w:r>
        <w:rPr>
          <w:sz w:val="23"/>
        </w:rPr>
        <w:t>Best regards</w:t>
      </w:r>
    </w:p>
    <w:p>
      <w:pPr>
        <w:pStyle w:val="BlockText"/>
        <w:ind w:start="0" w:end="14"/>
        <w:rPr>
          <w:sz w:val="23"/>
        </w:rPr>
      </w:pPr>
      <w:r>
        <w:rPr>
          <w:sz w:val="23"/>
        </w:rPr>
      </w:r>
    </w:p>
    <w:p>
      <w:pPr>
        <w:pStyle w:val="BlockText"/>
        <w:ind w:start="0" w:end="14"/>
        <w:rPr>
          <w:sz w:val="23"/>
        </w:rPr>
      </w:pPr>
      <w:r>
        <w:rPr>
          <w:sz w:val="23"/>
        </w:rPr>
      </w:r>
    </w:p>
    <w:sectPr>
      <w:footnotePr>
        <w:numFmt w:val="decimal"/>
      </w:footnotePr>
      <w:type w:val="continuous"/>
      <w:pgSz w:w="12240" w:h="15840"/>
      <w:pgMar w:left="1440" w:right="1440" w:gutter="0" w:header="144" w:top="720" w:footer="72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charset w:val="00" w:characterSet="windows-1252"/>
    <w:family w:val="roman"/>
    <w:pitch w:val="variable"/>
  </w:font>
  <w:font w:name="Tahoma">
    <w:charset w:val="00" w:characterSet="windows-1252"/>
    <w:family w:val="swiss"/>
    <w:pitch w:val="variable"/>
  </w:font>
  <w:font w:name="ATEngravure">
    <w:charset w:val="00" w:characterSet="windows-1252"/>
    <w:family w:val="roman"/>
    <w:pitch w:val="variable"/>
  </w:font>
  <w:font w:name="Baker &amp; McKenzie Logo">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jc w:val="center"/>
      <w:rPr>
        <w:sz w:val="16"/>
      </w:rPr>
    </w:pPr>
    <w:r>
      <w:rPr>
        <w:sz w:val="1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16"/>
        </w:rPr>
        <w:t>Attorneys at Foreign Law: Jurisdiction of Primary Qualification – the State of New South Wales; Designated Jurisdictions – England, Wales and the State of Victoria</w:t>
      </w:r>
    </w:p>
  </w:footnote>
  <w:footnote w:id="3">
    <w:p>
      <w:pPr>
        <w:pStyle w:val="FootnoteText"/>
        <w:rPr/>
      </w:pPr>
      <w:r>
        <w:rPr>
          <w:rStyle w:val="FootnoteCharacters"/>
        </w:rPr>
        <w:footnoteRef/>
      </w:r>
      <w:r>
        <w:rPr/>
        <w:t xml:space="preserve"> </w:t>
      </w:r>
      <w:r>
        <w:rPr/>
        <w:t>It is important to note that since DD is an employee of ENA, his activities in Japan would be regarded as being activities of ENA, and the issue of whether or not DD is an agent of ENA would not arise.</w:t>
      </w:r>
    </w:p>
    <w:p>
      <w:pPr>
        <w:pStyle w:val="FootnoteText"/>
        <w:rPr/>
      </w:pPr>
      <w:r>
        <w:rPr/>
      </w:r>
    </w:p>
  </w:footnote>
  <w:footnote w:id="4">
    <w:p>
      <w:pPr>
        <w:pStyle w:val="FootnoteText"/>
        <w:rPr/>
      </w:pPr>
      <w:r>
        <w:rPr>
          <w:rStyle w:val="FootnoteCharacters"/>
        </w:rPr>
        <w:footnoteRef/>
      </w:r>
      <w:r>
        <w:rPr/>
        <w:t xml:space="preserve"> </w:t>
      </w:r>
      <w:r>
        <w:rPr/>
        <w:t>It would be necessary to confirm that the proposed activities are within the scope of the EJ corporate purposes in its Articles of Incorporation.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p>
  <w:p>
    <w:pPr>
      <w:pStyle w:val="Normal"/>
      <w:tabs>
        <w:tab w:val="clear" w:pos="720"/>
        <w:tab w:val="right" w:pos="8910" w:leader="none"/>
      </w:tabs>
      <w:rPr>
        <w:rFonts w:ascii="Times New Roman" w:hAnsi="Times New Roman" w:cs="Times New Roman"/>
        <w:b/>
        <w:smallCaps/>
      </w:rPr>
    </w:pPr>
    <w:r>
      <w:rPr>
        <w:rFonts w:cs="ATEngravure" w:ascii="ATEngravure" w:hAnsi="ATEngravure"/>
        <w:b/>
        <w:smallCaps/>
      </w:rPr>
      <w:t>Tokyo Aoyama Law Office</w:t>
    </w:r>
    <w:r>
      <w:rPr>
        <w:rFonts w:cs="Times New Roman" w:ascii="Times New Roman" w:hAnsi="Times New Roman"/>
        <w:b/>
        <w:smallCaps/>
      </w:rPr>
      <w:tab/>
    </w:r>
    <w:r>
      <w:rPr>
        <w:rFonts w:cs="Baker &amp; McKenzie Logo" w:ascii="Baker &amp; McKenzie Logo" w:hAnsi="Baker &amp; McKenzie Logo"/>
        <w:b/>
        <w:smallCaps/>
        <w:spacing w:val="20"/>
      </w:rPr>
      <w:sym w:font="Baker &amp; McKenzie Logo" w:char="f041"/>
      <w:sym w:font="Baker &amp; McKenzie Logo" w:char="f042"/>
    </w:r>
  </w:p>
  <w:p>
    <w:pPr>
      <w:pStyle w:val="Head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CREATEDATE \@"MMMM\ d', 'yyyy" </w:instrText>
    </w:r>
    <w:r>
      <w:rPr>
        <w:rFonts w:cs="Times New Roman" w:ascii="Times New Roman" w:hAnsi="Times New Roman"/>
      </w:rPr>
      <w:fldChar w:fldCharType="separate"/>
    </w:r>
    <w:r>
      <w:rPr>
        <w:rFonts w:cs="Times New Roman" w:ascii="Times New Roman" w:hAnsi="Times New Roman"/>
      </w:rPr>
      <w:t>September 21, 2000</w:t>
    </w:r>
    <w:r>
      <w:rPr>
        <w:rFonts w:cs="Times New Roman" w:ascii="Times New Roman" w:hAnsi="Times New Roman"/>
      </w:rPr>
      <w:fldChar w:fldCharType="end"/>
    </w:r>
  </w:p>
  <w:p>
    <w:pPr>
      <w:pStyle w:val="Header"/>
      <w:rPr>
        <w:rFonts w:ascii="Times New Roman" w:hAnsi="Times New Roman" w:cs="Times New Roman"/>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p>
    <w:pPr>
      <w:pStyle w:val="Header"/>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numPr>
        <w:ilvl w:val="0"/>
        <w:numId w:val="0"/>
      </w:numPr>
      <w:spacing w:lineRule="exact" w:line="280"/>
      <w:ind w:end="14"/>
      <w:outlineLvl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jc w:val="both"/>
    </w:pPr>
    <w:rPr>
      <w:rFonts w:ascii="CG Times (W1)" w:hAnsi="CG Times (W1)" w:eastAsia="Times New Roman" w:cs="CG Times (W1)"/>
      <w:color w:val="auto"/>
      <w:sz w:val="24"/>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Arial" w:hAnsi="Arial" w:cs="Arial"/>
      <w:b/>
      <w:u w:val="single"/>
    </w:rPr>
  </w:style>
  <w:style w:type="paragraph" w:styleId="Heading2">
    <w:name w:val="heading 2"/>
    <w:basedOn w:val="Normal"/>
    <w:next w:val="Normal"/>
    <w:qFormat/>
    <w:pPr>
      <w:numPr>
        <w:ilvl w:val="1"/>
        <w:numId w:val="1"/>
      </w:numPr>
      <w:spacing w:before="120" w:after="0"/>
      <w:outlineLvl w:val="1"/>
    </w:pPr>
    <w:rPr>
      <w:rFonts w:ascii="Arial" w:hAnsi="Arial" w:cs="Arial"/>
      <w:b/>
    </w:rPr>
  </w:style>
  <w:style w:type="paragraph" w:styleId="Heading3">
    <w:name w:val="heading 3"/>
    <w:basedOn w:val="Normal"/>
    <w:next w:val="NormalIndent"/>
    <w:qFormat/>
    <w:pPr>
      <w:numPr>
        <w:ilvl w:val="2"/>
        <w:numId w:val="1"/>
      </w:numPr>
      <w:ind w:hanging="0" w:start="360" w:end="0"/>
      <w:outlineLvl w:val="2"/>
    </w:pPr>
    <w:rPr>
      <w:rFonts w:ascii="Times New Roman" w:hAnsi="Times New Roman" w:cs="Times New Roman"/>
      <w:b/>
    </w:rPr>
  </w:style>
  <w:style w:type="paragraph" w:styleId="Heading4">
    <w:name w:val="heading 4"/>
    <w:basedOn w:val="Normal"/>
    <w:next w:val="NormalIndent"/>
    <w:qFormat/>
    <w:pPr>
      <w:numPr>
        <w:ilvl w:val="3"/>
        <w:numId w:val="1"/>
      </w:numPr>
      <w:ind w:hanging="0" w:start="360" w:end="0"/>
      <w:outlineLvl w:val="3"/>
    </w:pPr>
    <w:rPr>
      <w:rFonts w:ascii="Times New Roman" w:hAnsi="Times New Roman" w:cs="Times New Roman"/>
      <w:u w:val="single"/>
    </w:rPr>
  </w:style>
  <w:style w:type="paragraph" w:styleId="Heading5">
    <w:name w:val="heading 5"/>
    <w:basedOn w:val="Normal"/>
    <w:next w:val="NormalIndent"/>
    <w:qFormat/>
    <w:pPr>
      <w:numPr>
        <w:ilvl w:val="4"/>
        <w:numId w:val="1"/>
      </w:numPr>
      <w:ind w:hanging="0" w:start="720" w:end="0"/>
      <w:outlineLvl w:val="4"/>
    </w:pPr>
    <w:rPr>
      <w:rFonts w:ascii="Times New Roman" w:hAnsi="Times New Roman" w:cs="Times New Roman"/>
      <w:b/>
      <w:sz w:val="20"/>
    </w:rPr>
  </w:style>
  <w:style w:type="paragraph" w:styleId="Heading6">
    <w:name w:val="heading 6"/>
    <w:basedOn w:val="Normal"/>
    <w:next w:val="NormalIndent"/>
    <w:qFormat/>
    <w:pPr>
      <w:numPr>
        <w:ilvl w:val="5"/>
        <w:numId w:val="1"/>
      </w:numPr>
      <w:ind w:hanging="0" w:start="720" w:end="0"/>
      <w:outlineLvl w:val="5"/>
    </w:pPr>
    <w:rPr>
      <w:rFonts w:ascii="Times New Roman" w:hAnsi="Times New Roman" w:cs="Times New Roman"/>
      <w:sz w:val="20"/>
      <w:u w:val="single"/>
    </w:rPr>
  </w:style>
  <w:style w:type="paragraph" w:styleId="Heading7">
    <w:name w:val="heading 7"/>
    <w:basedOn w:val="Normal"/>
    <w:next w:val="NormalIndent"/>
    <w:qFormat/>
    <w:pPr>
      <w:numPr>
        <w:ilvl w:val="6"/>
        <w:numId w:val="1"/>
      </w:numPr>
      <w:ind w:hanging="0" w:start="720" w:end="0"/>
      <w:outlineLvl w:val="6"/>
    </w:pPr>
    <w:rPr>
      <w:rFonts w:ascii="Times New Roman" w:hAnsi="Times New Roman" w:cs="Times New Roman"/>
      <w:i/>
      <w:sz w:val="20"/>
    </w:rPr>
  </w:style>
  <w:style w:type="paragraph" w:styleId="Heading8">
    <w:name w:val="heading 8"/>
    <w:basedOn w:val="Normal"/>
    <w:next w:val="NormalIndent"/>
    <w:qFormat/>
    <w:pPr>
      <w:numPr>
        <w:ilvl w:val="7"/>
        <w:numId w:val="1"/>
      </w:numPr>
      <w:ind w:hanging="0" w:start="720" w:end="0"/>
      <w:outlineLvl w:val="7"/>
    </w:pPr>
    <w:rPr>
      <w:rFonts w:ascii="Times New Roman" w:hAnsi="Times New Roman" w:cs="Times New Roman"/>
      <w:i/>
      <w:sz w:val="20"/>
    </w:rPr>
  </w:style>
  <w:style w:type="paragraph" w:styleId="Heading9">
    <w:name w:val="heading 9"/>
    <w:basedOn w:val="Normal"/>
    <w:next w:val="NormalIndent"/>
    <w:qFormat/>
    <w:pPr>
      <w:numPr>
        <w:ilvl w:val="8"/>
        <w:numId w:val="1"/>
      </w:numPr>
      <w:ind w:hanging="0" w:start="720" w:end="0"/>
      <w:outlineLvl w:val="8"/>
    </w:pPr>
    <w:rPr>
      <w:rFonts w:ascii="Times New Roman" w:hAnsi="Times New Roman" w:cs="Times New Roma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uto" w:line="240" w:before="0" w:after="60"/>
      <w:jc w:val="center"/>
    </w:pPr>
    <w:rPr>
      <w:rFonts w:ascii="Times New Roman" w:hAnsi="Times New Roman" w:cs="Times New Roman"/>
      <w:smallCaps/>
      <w:sz w:val="36"/>
    </w:rPr>
  </w:style>
  <w:style w:type="paragraph" w:styleId="BodyText">
    <w:name w:val="Body Text"/>
    <w:basedOn w:val="Normal"/>
    <w:pPr>
      <w:ind w:hanging="0" w:start="0" w:end="14"/>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ind w:hanging="0" w:start="720" w:end="14"/>
    </w:pPr>
    <w:rPr/>
  </w:style>
  <w:style w:type="paragraph" w:styleId="BodyTextIndent2">
    <w:name w:val="Body Text Indent 2"/>
    <w:basedOn w:val="Normal"/>
    <w:qFormat/>
    <w:pPr>
      <w:widowControl w:val="false"/>
      <w:spacing w:lineRule="auto" w:line="240"/>
      <w:ind w:hanging="851" w:start="1702" w:end="0"/>
    </w:pPr>
    <w:rPr>
      <w:rFonts w:ascii="Times New Roman" w:hAnsi="Times New Roman" w:eastAsia="ＭＳ 明朝;MS Gothic" w:cs="Times New Roman"/>
      <w:kern w:val="2"/>
      <w:sz w:val="23"/>
      <w:lang w:eastAsia="ja-JP"/>
    </w:rPr>
  </w:style>
  <w:style w:type="paragraph" w:styleId="BodyTextIndent3">
    <w:name w:val="Body Text Indent 3"/>
    <w:basedOn w:val="Normal"/>
    <w:qFormat/>
    <w:pPr>
      <w:widowControl w:val="false"/>
      <w:spacing w:lineRule="auto" w:line="240"/>
      <w:ind w:hanging="0" w:start="851" w:end="0"/>
    </w:pPr>
    <w:rPr>
      <w:rFonts w:ascii="Times New Roman" w:hAnsi="Times New Roman" w:eastAsia="ＭＳ 明朝;MS Gothic" w:cs="Times New Roman"/>
      <w:kern w:val="2"/>
      <w:sz w:val="23"/>
      <w:lang w:eastAsia="ja-JP"/>
    </w:rPr>
  </w:style>
  <w:style w:type="paragraph" w:styleId="BodyTextIndent">
    <w:name w:val="Body Text Indent"/>
    <w:basedOn w:val="Normal"/>
    <w:pPr>
      <w:ind w:hanging="0" w:start="720" w:end="0"/>
    </w:pPr>
    <w:rPr>
      <w:rFonts w:ascii="Times New Roman" w:hAnsi="Times New Roman" w:cs="Times New Roman"/>
      <w:sz w:val="2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E-Mail English Memorandum (A4)</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2000-09-21T04:31:00Z</dcterms:created>
  <dc:creator>TALO - B&amp;M User</dc:creator>
  <dc:description/>
  <dc:language>en-CA</dc:language>
  <cp:lastModifiedBy>TALO - B&amp;M User</cp:lastModifiedBy>
  <cp:lastPrinted>2000-09-21T18:06:00Z</cp:lastPrinted>
  <dcterms:modified xsi:type="dcterms:W3CDTF">2000-09-21T07:19:00Z</dcterms:modified>
  <cp:revision>5</cp:revision>
  <dc:subject/>
  <dc:title>English Fax</dc:title>
</cp:coreProperties>
</file>