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p>
    <w:p>
      <w:pPr>
        <w:pStyle w:val="Normal"/>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Recipient</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Vasant Shanbhogue</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Research</w:t>
            </w:r>
            <w:bookmarkStart w:id="1" w:name="tDepartment"/>
            <w:bookmarkEnd w:id="1"/>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AA Audit Memos</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Body"/>
        <w:rPr/>
      </w:pPr>
      <w:r>
        <w:rPr/>
      </w:r>
      <w:bookmarkStart w:id="2" w:name="StartOfMemo"/>
      <w:bookmarkStart w:id="3" w:name="StartOfMemo"/>
      <w:bookmarkEnd w:id="3"/>
    </w:p>
    <w:p>
      <w:pPr>
        <w:pStyle w:val="Body"/>
        <w:rPr>
          <w:b/>
          <w:u w:val="single"/>
        </w:rPr>
      </w:pPr>
      <w:r>
        <w:rPr>
          <w:b/>
          <w:u w:val="single"/>
        </w:rPr>
        <w:t>Comments to the Commodity VAR Audit Memo</w:t>
      </w:r>
    </w:p>
    <w:p>
      <w:pPr>
        <w:pStyle w:val="Body"/>
        <w:rPr>
          <w:b/>
          <w:u w:val="single"/>
        </w:rPr>
      </w:pPr>
      <w:r>
        <w:rPr>
          <w:b/>
          <w:u w:val="single"/>
        </w:rPr>
      </w:r>
    </w:p>
    <w:p>
      <w:pPr>
        <w:pStyle w:val="Body"/>
        <w:numPr>
          <w:ilvl w:val="0"/>
          <w:numId w:val="2"/>
        </w:numPr>
        <w:rPr/>
      </w:pPr>
      <w:r>
        <w:rPr/>
        <w:t>The Commodity Price module is used for gas as well as all other primary commodities.  The Basis Module applies to all gas location price curves and does not apply to the natural gas price curve (NG).  This is stated in the Value at Risk document, and is contrary to the AA memo.</w:t>
      </w:r>
    </w:p>
    <w:p>
      <w:pPr>
        <w:pStyle w:val="Body"/>
        <w:numPr>
          <w:ilvl w:val="0"/>
          <w:numId w:val="2"/>
        </w:numPr>
        <w:rPr/>
      </w:pPr>
      <w:r>
        <w:rPr/>
        <w:t xml:space="preserve">The elimination of secondary commodities and having only primary commodities would require that correlations be calculated between every pair of commodities and also require matrix decomposition of the entire covariance matrix.  </w:t>
      </w:r>
    </w:p>
    <w:p>
      <w:pPr>
        <w:pStyle w:val="Body"/>
        <w:numPr>
          <w:ilvl w:val="0"/>
          <w:numId w:val="4"/>
        </w:numPr>
        <w:tabs>
          <w:tab w:val="left" w:pos="720" w:leader="none"/>
        </w:tabs>
        <w:ind w:hanging="360" w:start="720" w:end="0"/>
        <w:rPr/>
      </w:pPr>
      <w:r>
        <w:rPr/>
        <w:t>Due to some curves being new or illiquid, correlation calculation from historical data may not be meaningful.  The current system takes the view that mapping these to a small core set of commodities is preferable to using whatever the calculation comes up with.</w:t>
      </w:r>
    </w:p>
    <w:p>
      <w:pPr>
        <w:pStyle w:val="Body"/>
        <w:numPr>
          <w:ilvl w:val="0"/>
          <w:numId w:val="4"/>
        </w:numPr>
        <w:tabs>
          <w:tab w:val="left" w:pos="720" w:leader="none"/>
        </w:tabs>
        <w:ind w:hanging="360" w:start="720" w:end="0"/>
        <w:rPr/>
      </w:pPr>
      <w:r>
        <w:rPr/>
        <w:t>Due to the large size of the ensuing covariance matrix, the matrix decomposition could have problems numerically.</w:t>
      </w:r>
    </w:p>
    <w:p>
      <w:pPr>
        <w:pStyle w:val="Body"/>
        <w:numPr>
          <w:ilvl w:val="0"/>
          <w:numId w:val="3"/>
        </w:numPr>
        <w:rPr/>
      </w:pPr>
      <w:r>
        <w:rPr/>
        <w:t xml:space="preserve">Hedge ratios for gas basis locations are calculated </w:t>
      </w:r>
      <w:r>
        <w:rPr>
          <w:i/>
        </w:rPr>
        <w:t>using price differences,</w:t>
      </w:r>
      <w:r>
        <w:rPr/>
        <w:t xml:space="preserve"> and not using price returns, as stated in the AA memo.</w:t>
      </w:r>
    </w:p>
    <w:p>
      <w:pPr>
        <w:pStyle w:val="Body"/>
        <w:numPr>
          <w:ilvl w:val="0"/>
          <w:numId w:val="3"/>
        </w:numPr>
        <w:rPr/>
      </w:pPr>
      <w:r>
        <w:rPr/>
        <w:t>I do not agree that modeling prices using GBM + jumps is equivalent to using a mean reversion process.  Mean reversion is an entirely different kind of process, whereas GBM + jump makes no reference to a long-term mean.  The use of GBM + jump is justified by the fact that for short time periods, the effect of mean reversion is not observable, so it should be acceptable to ignore mean reversion, even if this is the case over the long term.</w:t>
      </w:r>
    </w:p>
    <w:p>
      <w:pPr>
        <w:pStyle w:val="Body"/>
        <w:numPr>
          <w:ilvl w:val="0"/>
          <w:numId w:val="3"/>
        </w:numPr>
        <w:rPr/>
      </w:pPr>
      <w:r>
        <w:rPr/>
        <w:t>The assumption of non-changing volatility is not a bad assumption over short time periods, especially considering backtesting results.  However, the idea of volatility simulation should be revisited with a view towards using delta-gamma-crossgamma-vega methodology.  This is not a high priority project.</w:t>
      </w:r>
    </w:p>
    <w:p>
      <w:pPr>
        <w:pStyle w:val="Body"/>
        <w:numPr>
          <w:ilvl w:val="0"/>
          <w:numId w:val="3"/>
        </w:numPr>
        <w:rPr/>
      </w:pPr>
      <w:r>
        <w:rPr/>
        <w:t xml:space="preserve">Regarding the concern that factor loadings for gas are used for commodities such as paper and coal, this is simply an expeditious way of getting Value-at-risk numbers for these commodities.  The calculation of factor loadings for these curves did not lead to good results, and gas factor loadings are being used as a proxy.  It must be emphasized that the </w:t>
      </w:r>
      <w:r>
        <w:rPr>
          <w:i/>
        </w:rPr>
        <w:t>correct volatility curve for each commodity is being used to scale the factor loadings</w:t>
      </w:r>
      <w:r>
        <w:rPr/>
        <w:t>.  We will keep revisiting this issue.</w:t>
      </w:r>
    </w:p>
    <w:p>
      <w:pPr>
        <w:pStyle w:val="Body"/>
        <w:numPr>
          <w:ilvl w:val="0"/>
          <w:numId w:val="3"/>
        </w:numPr>
        <w:rPr/>
      </w:pPr>
      <w:r>
        <w:rPr/>
        <w:t xml:space="preserve">Checking of mapping from secondary to primary curves </w:t>
      </w:r>
      <w:r>
        <w:rPr>
          <w:i/>
        </w:rPr>
        <w:t>does</w:t>
      </w:r>
      <w:r>
        <w:rPr/>
        <w:t xml:space="preserve"> take place periodically, and is initiated by Risk Control.</w:t>
      </w:r>
    </w:p>
    <w:p>
      <w:pPr>
        <w:pStyle w:val="Body"/>
        <w:numPr>
          <w:ilvl w:val="0"/>
          <w:numId w:val="3"/>
        </w:numPr>
        <w:jc w:val="both"/>
        <w:rPr>
          <w:b/>
          <w:i/>
          <w:i/>
        </w:rPr>
      </w:pPr>
      <w:r>
        <w:rPr>
          <w:b/>
        </w:rPr>
        <w:t xml:space="preserve">On the documentation :   </w:t>
      </w:r>
      <w:r>
        <w:rPr/>
        <w:t xml:space="preserve">There is no doubt that more extensive documentation is preferable.  This would include the descriptions of the inputs to the program, user interaction with the program, description of all the tables in the database, the interaction between the tables and the program, the current Value-at-risk calculation  and simulation methodology, backtesting methodology.  From the research side, </w:t>
      </w:r>
      <w:r>
        <w:rPr>
          <w:i/>
        </w:rPr>
        <w:t>the document handed over to AA was a substantially accurate description of the calculation methodology.</w:t>
      </w:r>
      <w:r>
        <w:rPr/>
        <w:t xml:space="preserve">   The methodology has not changed in any significant way over the last 2 years.  Due to the constantly evolving nature of the process, with new commodities being added, and new simulation processes being revisited, most of the enhancements are entered into a logfile.  Details of all the enhancements made were verbally communicated to AA</w:t>
      </w:r>
      <w:r>
        <w:rPr>
          <w:i/>
        </w:rPr>
        <w:t xml:space="preserve">. </w:t>
      </w:r>
    </w:p>
    <w:p>
      <w:pPr>
        <w:pStyle w:val="Body"/>
        <w:numPr>
          <w:ilvl w:val="0"/>
          <w:numId w:val="3"/>
        </w:numPr>
        <w:rPr>
          <w:b/>
        </w:rPr>
      </w:pPr>
      <w:r>
        <w:rPr/>
        <w:t xml:space="preserve">For factor loadings, AA should suggest what “quality controls” they would like to see.  Calculating factor loadings for power, even for 12 months, is sometimes problematic.  The alternative is to use proxy factor loadings, such as those for gas.  Using a small number of months for factor loadings does not invalidate the methodology, but only suggests that a parallel shift approach is being taken for longer dated prices.  This will understate the risk for calendar spreads, and one should be aware of this.  Monitoring via backtesting is an appropriate way to track this issue.  </w:t>
      </w:r>
    </w:p>
    <w:p>
      <w:pPr>
        <w:pStyle w:val="Body"/>
        <w:numPr>
          <w:ilvl w:val="0"/>
          <w:numId w:val="3"/>
        </w:numPr>
        <w:rPr>
          <w:b/>
        </w:rPr>
      </w:pPr>
      <w:r>
        <w:rPr/>
        <w:t>Cross effects between volatility seasonality and factor loadings is not much of an issue, since we take price returns in calculating the factor loadings, and do not use the much more seasonal price series.  In addition, using only three months of data limits the seasonality effect.  “Seasonality effect” can be measured only if there is a way for factor loadings to be calculated incorporating seasonality.  Using returns on seasonally adjusted prices is an option, but this adjustment will add noise to the process.  Could AA suggest how they would have us measure the “seasonality effect”?  How important is this really?</w:t>
      </w:r>
    </w:p>
    <w:p>
      <w:pPr>
        <w:pStyle w:val="Body"/>
        <w:numPr>
          <w:ilvl w:val="0"/>
          <w:numId w:val="3"/>
        </w:numPr>
        <w:rPr>
          <w:b/>
        </w:rPr>
      </w:pPr>
      <w:r>
        <w:rPr/>
        <w:t>The total variation explained by factor loadings has typically been high, over 90%.  This has not been saved in the database, and this issue can be easily addressed.</w:t>
      </w:r>
    </w:p>
    <w:p>
      <w:pPr>
        <w:pStyle w:val="Body"/>
        <w:numPr>
          <w:ilvl w:val="0"/>
          <w:numId w:val="3"/>
        </w:numPr>
        <w:rPr>
          <w:b/>
        </w:rPr>
      </w:pPr>
      <w:r>
        <w:rPr/>
        <w:t>There has been a concerted effort to remove all hardcodings from the programs recently, and so there should not be any significant hardcodings left in the program.</w:t>
      </w:r>
    </w:p>
    <w:p>
      <w:pPr>
        <w:pStyle w:val="Body"/>
        <w:numPr>
          <w:ilvl w:val="0"/>
          <w:numId w:val="3"/>
        </w:numPr>
        <w:rPr/>
      </w:pPr>
      <w:r>
        <w:rPr/>
        <w:t xml:space="preserve">The usage of the same set of factor loadings for multiple commodities is reflected by a table in which the factor loadings to be used are indicated  for each commodity.  </w:t>
      </w:r>
      <w:r>
        <w:rPr>
          <w:i/>
        </w:rPr>
        <w:t>AA should try and review all relevant tables for a complete audit</w:t>
      </w:r>
      <w:r>
        <w:rPr/>
        <w:t>, because there is no central repository for all the information that AA might like to review.</w:t>
      </w:r>
    </w:p>
    <w:p>
      <w:pPr>
        <w:pStyle w:val="Body"/>
        <w:ind w:start="0" w:end="0"/>
        <w:rPr/>
      </w:pPr>
      <w:r>
        <w:rPr/>
      </w:r>
    </w:p>
    <w:p>
      <w:pPr>
        <w:pStyle w:val="Body"/>
        <w:ind w:start="0" w:end="0"/>
        <w:rPr/>
      </w:pPr>
      <w:r>
        <w:rPr/>
      </w:r>
    </w:p>
    <w:p>
      <w:pPr>
        <w:pStyle w:val="Body"/>
        <w:ind w:start="0" w:end="0"/>
        <w:rPr>
          <w:b/>
          <w:u w:val="single"/>
        </w:rPr>
      </w:pPr>
      <w:r>
        <w:rPr>
          <w:b/>
          <w:u w:val="single"/>
        </w:rPr>
        <w:t>Comments to the Equity VAR Audit Memo</w:t>
      </w:r>
    </w:p>
    <w:p>
      <w:pPr>
        <w:pStyle w:val="Body"/>
        <w:numPr>
          <w:ilvl w:val="0"/>
          <w:numId w:val="5"/>
        </w:numPr>
        <w:rPr/>
      </w:pPr>
      <w:r>
        <w:rPr/>
        <w:t>FX risk should get picked up for equities when every non-US dollar price is converted into US dollars before calculating volatility and correlation.  This is the correct methodology, and this used to be the practice.  This is easily corrected when data is downloaded, by making sure that the proper US dollar time series is input into the model.</w:t>
      </w:r>
    </w:p>
    <w:p>
      <w:pPr>
        <w:pStyle w:val="Body"/>
        <w:numPr>
          <w:ilvl w:val="0"/>
          <w:numId w:val="5"/>
        </w:numPr>
        <w:rPr/>
      </w:pPr>
      <w:r>
        <w:rPr/>
        <w:t>Dividend effects should be minor and get swamped by the existing price volatility.</w:t>
      </w:r>
    </w:p>
    <w:p>
      <w:pPr>
        <w:pStyle w:val="Body"/>
        <w:numPr>
          <w:ilvl w:val="0"/>
          <w:numId w:val="5"/>
        </w:numPr>
        <w:rPr/>
      </w:pPr>
      <w:r>
        <w:rPr/>
        <w:t>The issue of using previous day’s close price for days without closing prices should be addressed, but is not a simple matter of simply ignoring the days on which on stocks do not have prices.  One has to be sensitive to the fact that such a process can eliminate a large fraction of your sample days, especially for new equities.  The way to address it is to have the trading group ready to post volatilities and correlations for these stocks, possibly by using proxy equities for historical data.  This needs careful review.</w:t>
      </w:r>
    </w:p>
    <w:p>
      <w:pPr>
        <w:pStyle w:val="Body"/>
        <w:numPr>
          <w:ilvl w:val="0"/>
          <w:numId w:val="5"/>
        </w:numPr>
        <w:rPr/>
      </w:pPr>
      <w:r>
        <w:rPr/>
        <w:t xml:space="preserve">Exponential weighting in calculating volatilities and correlations will be the official standard, and the models to do this will be in place shortly. </w:t>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3780" w:leader="none"/>
        <w:tab w:val="left" w:pos="4770" w:leader="none"/>
        <w:tab w:val="left" w:pos="7650" w:leader="none"/>
        <w:tab w:val="right" w:pos="10800" w:leader="none"/>
      </w:tabs>
      <w:rPr>
        <w:sz w:val="16"/>
      </w:rPr>
    </w:pPr>
    <w:r>
      <w:rPr>
        <w:b/>
        <w:sz w:val="16"/>
      </w:rPr>
      <w:t>Respect</w:t>
      <w:tab/>
      <w:t>Integrity</w:t>
      <w:tab/>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2</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2523490</wp:posOffset>
              </wp:positionH>
              <wp:positionV relativeFrom="paragraph">
                <wp:posOffset>635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0.05pt;mso-position-vertical-relative:text;margin-left:198.7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432"/>
        </w:tabs>
        <w:ind w:start="432" w:hanging="360"/>
      </w:pPr>
      <w:rPr/>
    </w:lvl>
  </w:abstractNum>
  <w:abstractNum w:abstractNumId="3">
    <w:lvl w:ilvl="0">
      <w:start w:val="3"/>
      <w:numFmt w:val="decimal"/>
      <w:lvlText w:val="%1."/>
      <w:lvlJc w:val="start"/>
      <w:pPr>
        <w:tabs>
          <w:tab w:val="num" w:pos="360"/>
        </w:tabs>
        <w:ind w:start="360" w:hanging="360"/>
      </w:pPr>
    </w:lvl>
  </w:abstractNum>
  <w:abstractNum w:abstractNumId="4">
    <w:lvl w:ilvl="0">
      <w:start w:val="1"/>
      <w:numFmt w:val="lowerLetter"/>
      <w:lvlText w:val="(%1)"/>
      <w:lvlJc w:val="start"/>
      <w:pPr>
        <w:tabs>
          <w:tab w:val="num" w:pos="360"/>
        </w:tabs>
        <w:ind w:start="360" w:hanging="360"/>
      </w:pPr>
    </w:lvl>
  </w:abstractNum>
  <w:abstractNum w:abstractNumId="5">
    <w:lvl w:ilvl="0">
      <w:start w:val="1"/>
      <w:numFmt w:val="decimal"/>
      <w:lvlText w:val="%1."/>
      <w:lvlJc w:val="start"/>
      <w:pPr>
        <w:tabs>
          <w:tab w:val="num" w:pos="360"/>
        </w:tabs>
        <w:ind w:start="36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hAnsi="CG Times" w:cs="CG Times"/>
      <w:b/>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Bfsmemo.dot</Template>
  <TotalTime>98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1999-07-01T10:32:00Z</dcterms:created>
  <dc:creator>Jeff Ford</dc:creator>
  <dc:description/>
  <dc:language>en-CA</dc:language>
  <cp:lastModifiedBy>Vasant Shanbhogue</cp:lastModifiedBy>
  <dcterms:modified xsi:type="dcterms:W3CDTF">1999-07-01T12:18:00Z</dcterms:modified>
  <cp:revision>6</cp:revision>
  <dc:subject>AA Audit Memos</dc:subject>
  <dc:title>Better, Faster, Simpler Memo </dc:title>
</cp:coreProperties>
</file>