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Heading1"/>
        <w:ind w:hanging="0" w:start="0"/>
        <w:rPr>
          <w:sz w:val="24"/>
        </w:rPr>
      </w:pPr>
      <w:r>
        <w:rPr/>
        <w:t>CONFIDENTIAL MEMORANDUM</w:t>
      </w:r>
    </w:p>
    <w:p>
      <w:pPr>
        <w:pStyle w:val="Normal"/>
        <w:rPr>
          <w:sz w:val="24"/>
        </w:rPr>
      </w:pPr>
      <w:r>
        <w:rPr>
          <w:sz w:val="24"/>
        </w:rPr>
      </w:r>
    </w:p>
    <w:p>
      <w:pPr>
        <w:pStyle w:val="Normal"/>
        <w:rPr>
          <w:sz w:val="24"/>
        </w:rPr>
      </w:pPr>
      <w:r>
        <w:rPr>
          <w:sz w:val="24"/>
        </w:rPr>
      </w:r>
    </w:p>
    <w:p>
      <w:pPr>
        <w:pStyle w:val="Normal"/>
        <w:rPr>
          <w:b/>
          <w:sz w:val="24"/>
        </w:rPr>
      </w:pPr>
      <w:r>
        <w:rPr>
          <w:b/>
          <w:sz w:val="24"/>
        </w:rPr>
        <w:t>TO:</w:t>
        <w:tab/>
        <w:tab/>
        <w:t>Vince Kaminski</w:t>
      </w:r>
    </w:p>
    <w:p>
      <w:pPr>
        <w:pStyle w:val="Normal"/>
        <w:rPr>
          <w:b/>
          <w:sz w:val="24"/>
        </w:rPr>
      </w:pPr>
      <w:r>
        <w:rPr>
          <w:b/>
          <w:sz w:val="24"/>
        </w:rPr>
      </w:r>
    </w:p>
    <w:p>
      <w:pPr>
        <w:pStyle w:val="Normal"/>
        <w:rPr>
          <w:b/>
          <w:sz w:val="24"/>
        </w:rPr>
      </w:pPr>
      <w:r>
        <w:rPr>
          <w:b/>
          <w:sz w:val="24"/>
        </w:rPr>
        <w:t>FROM:</w:t>
        <w:tab/>
        <w:t>Molly Magee</w:t>
      </w:r>
    </w:p>
    <w:p>
      <w:pPr>
        <w:pStyle w:val="Normal"/>
        <w:rPr>
          <w:b/>
          <w:sz w:val="24"/>
        </w:rPr>
      </w:pPr>
      <w:r>
        <w:rPr>
          <w:b/>
          <w:sz w:val="24"/>
        </w:rPr>
      </w:r>
    </w:p>
    <w:p>
      <w:pPr>
        <w:pStyle w:val="Normal"/>
        <w:rPr>
          <w:b/>
          <w:sz w:val="24"/>
        </w:rPr>
      </w:pPr>
      <w:r>
        <w:rPr>
          <w:b/>
          <w:sz w:val="24"/>
        </w:rPr>
        <w:t>CC:</w:t>
        <w:tab/>
        <w:tab/>
        <w:t>Celeste Roberts</w:t>
      </w:r>
    </w:p>
    <w:p>
      <w:pPr>
        <w:pStyle w:val="Normal"/>
        <w:rPr>
          <w:b/>
          <w:sz w:val="24"/>
        </w:rPr>
      </w:pPr>
      <w:r>
        <w:rPr>
          <w:b/>
          <w:sz w:val="24"/>
        </w:rPr>
        <w:tab/>
        <w:tab/>
        <w:t>Charlene Jackson</w:t>
      </w:r>
    </w:p>
    <w:p>
      <w:pPr>
        <w:pStyle w:val="Normal"/>
        <w:rPr>
          <w:b/>
          <w:sz w:val="24"/>
        </w:rPr>
      </w:pPr>
      <w:r>
        <w:rPr>
          <w:b/>
          <w:sz w:val="24"/>
        </w:rPr>
      </w:r>
    </w:p>
    <w:p>
      <w:pPr>
        <w:pStyle w:val="Normal"/>
        <w:rPr>
          <w:b/>
          <w:sz w:val="24"/>
        </w:rPr>
      </w:pPr>
      <w:r>
        <w:rPr>
          <w:b/>
          <w:sz w:val="24"/>
        </w:rPr>
        <w:t>DATE:</w:t>
        <w:tab/>
        <w:t>June 22, 2000</w:t>
      </w:r>
    </w:p>
    <w:p>
      <w:pPr>
        <w:pStyle w:val="Normal"/>
        <w:rPr>
          <w:b/>
          <w:sz w:val="24"/>
        </w:rPr>
      </w:pPr>
      <w:r>
        <w:rPr>
          <w:b/>
          <w:sz w:val="24"/>
        </w:rPr>
      </w:r>
    </w:p>
    <w:p>
      <w:pPr>
        <w:pStyle w:val="Normal"/>
        <w:pBdr>
          <w:bottom w:val="single" w:sz="12" w:space="1" w:color="000000"/>
        </w:pBdr>
        <w:rPr>
          <w:b/>
          <w:sz w:val="24"/>
        </w:rPr>
      </w:pPr>
      <w:r>
        <w:rPr>
          <w:b/>
          <w:sz w:val="24"/>
        </w:rPr>
        <w:t>RE:</w:t>
        <w:tab/>
        <w:tab/>
        <w:t>Request for Letter of Reference</w:t>
      </w:r>
    </w:p>
    <w:p>
      <w:pPr>
        <w:pStyle w:val="Normal"/>
        <w:pBdr>
          <w:bottom w:val="single" w:sz="12" w:space="1" w:color="000000"/>
        </w:pBdr>
        <w:rPr>
          <w:b/>
          <w:sz w:val="24"/>
        </w:rPr>
      </w:pPr>
      <w:r>
        <w:rPr>
          <w:b/>
          <w:sz w:val="24"/>
        </w:rPr>
        <w:tab/>
        <w:tab/>
      </w:r>
    </w:p>
    <w:p>
      <w:pPr>
        <w:pStyle w:val="Normal"/>
        <w:rPr>
          <w:b/>
          <w:sz w:val="24"/>
        </w:rPr>
      </w:pPr>
      <w:r>
        <w:rPr>
          <w:b/>
          <w:sz w:val="24"/>
        </w:rPr>
      </w:r>
    </w:p>
    <w:p>
      <w:pPr>
        <w:pStyle w:val="BodyText"/>
        <w:rPr>
          <w:sz w:val="20"/>
        </w:rPr>
      </w:pPr>
      <w:r>
        <w:rPr>
          <w:sz w:val="20"/>
        </w:rPr>
        <w:t>Your name was listed by Li Xiao as a reference for her application for a loan to pay graduate school tuition at the University of Chicago.</w:t>
      </w:r>
    </w:p>
    <w:p>
      <w:pPr>
        <w:pStyle w:val="Normal"/>
        <w:rPr>
          <w:sz w:val="20"/>
        </w:rPr>
      </w:pPr>
      <w:r>
        <w:rPr>
          <w:sz w:val="20"/>
        </w:rPr>
      </w:r>
    </w:p>
    <w:p>
      <w:pPr>
        <w:pStyle w:val="Normal"/>
        <w:rPr/>
      </w:pPr>
      <w:r>
        <w:rPr/>
        <w:t>We need your help to reach a decision on this application, and ask that, unless you have already done so, you respond with a written reference or an email to me no later than June 26, 2000.  Please use the attached form for your recommendation, but feel free to add further comments if you wish.  All responses will be kept confidential.</w:t>
      </w:r>
    </w:p>
    <w:p>
      <w:pPr>
        <w:pStyle w:val="Normal"/>
        <w:rPr/>
      </w:pPr>
      <w:r>
        <w:rPr/>
      </w:r>
    </w:p>
    <w:p>
      <w:pPr>
        <w:pStyle w:val="Normal"/>
        <w:rPr/>
      </w:pPr>
      <w:r>
        <w:rPr/>
        <w:t xml:space="preserve">The criteria considered by the Executive Committee in determining whether to approve a loan are </w:t>
      </w:r>
      <w:r>
        <w:rPr>
          <w:b/>
        </w:rPr>
        <w:t>performance, capabilities, character</w:t>
      </w:r>
      <w:r>
        <w:rPr/>
        <w:t xml:space="preserve">, and </w:t>
      </w:r>
      <w:r>
        <w:rPr>
          <w:b/>
        </w:rPr>
        <w:t xml:space="preserve">upside potential for Enron.  </w:t>
      </w:r>
      <w:r>
        <w:rPr/>
        <w:t xml:space="preserve">Input from you and other managers, as well as PRC performance results, is critical to reaching a sound decision.  Paramount to approval is consensus that this person is someone Enron will want to rehire after she has completed the MBA.  </w:t>
      </w:r>
    </w:p>
    <w:p>
      <w:pPr>
        <w:pStyle w:val="Normal"/>
        <w:rPr/>
      </w:pPr>
      <w:r>
        <w:rPr/>
      </w:r>
    </w:p>
    <w:p>
      <w:pPr>
        <w:pStyle w:val="Normal"/>
        <w:rPr/>
      </w:pPr>
      <w:r>
        <w:rPr/>
        <w:t>If approved, the loan is based on the amount of tuition invoiced by the graduate school, and is governed by a Loan Agreement entered into between Enron and the applicant upon approval and submission of appropriate documentation.  The Loan Agreement provides for forgiveness of the loan should the applicant be rehired by Enron after receiving the degree.  The schedule of debt forgiveness is 25% of the principal and interest on January 1</w:t>
      </w:r>
      <w:r>
        <w:rPr>
          <w:vertAlign w:val="superscript"/>
        </w:rPr>
        <w:t>st</w:t>
      </w:r>
      <w:r>
        <w:rPr/>
        <w:t xml:space="preserve"> of the year following the rehire date and 25% of the principal and interest on January 1</w:t>
      </w:r>
      <w:r>
        <w:rPr>
          <w:vertAlign w:val="superscript"/>
        </w:rPr>
        <w:t>st</w:t>
      </w:r>
      <w:r>
        <w:rPr/>
        <w:t xml:space="preserve"> of each of the three succeeding years.  The intent is that the entire debt will be forgiven in less than four years if the loan recipient returns to Enron. </w:t>
      </w:r>
    </w:p>
    <w:p>
      <w:pPr>
        <w:pStyle w:val="Normal"/>
        <w:rPr/>
      </w:pPr>
      <w:r>
        <w:rPr/>
      </w:r>
    </w:p>
    <w:p>
      <w:pPr>
        <w:pStyle w:val="Normal"/>
        <w:rPr/>
      </w:pPr>
      <w:r>
        <w:rPr/>
        <w:t>Should the applicant not return to Enron, she is responsible for repayment of the entire principal amount of the loan, plus interest, as provided for in the Loan Agreement.   Should the applicant return to Enron but leave before her debt is completely forgiven, then she is responsible for repayment of that portion of the loan not yet forgiven, plus interest</w:t>
      </w:r>
      <w:r>
        <w:rPr>
          <w:sz w:val="24"/>
        </w:rPr>
        <w:t>.</w:t>
      </w:r>
    </w:p>
    <w:p>
      <w:pPr>
        <w:pStyle w:val="Normal"/>
        <w:rPr>
          <w:sz w:val="24"/>
        </w:rPr>
      </w:pPr>
      <w:r>
        <w:rPr>
          <w:sz w:val="24"/>
        </w:rPr>
      </w:r>
    </w:p>
    <w:p>
      <w:pPr>
        <w:pStyle w:val="Normal"/>
        <w:rPr/>
      </w:pPr>
      <w:r>
        <w:rPr/>
        <w:t>The Enron Educational Loan Program constitutes a major investment on the part of Enron, and is an important part of our common effort to recruit and retain the best employees for our corporate future.  We appreciate your assistance, and thank you for your cooperation.</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2"/>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z w:val="28"/>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2000-06-22T13:08:00Z</dcterms:created>
  <dc:creator>mmagee</dc:creator>
  <dc:description/>
  <dc:language>en-CA</dc:language>
  <cp:lastModifiedBy>mmagee</cp:lastModifiedBy>
  <cp:lastPrinted>2000-03-09T15:57:00Z</cp:lastPrinted>
  <dcterms:modified xsi:type="dcterms:W3CDTF">2000-06-22T13:08:00Z</dcterms:modified>
  <cp:revision>2</cp:revision>
  <dc:subject/>
  <dc:title>MEMORANDUM</dc:title>
</cp:coreProperties>
</file>