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t xml:space="preserve">From: </w:t>
        <w:tab/>
        <w:t>Tozzini Freire Teixeira e Silva Advogados</w:t>
      </w:r>
    </w:p>
    <w:p>
      <w:pPr>
        <w:pStyle w:val="Normal"/>
        <w:jc w:val="both"/>
        <w:rPr/>
      </w:pPr>
      <w:r>
        <w:rPr/>
        <w:tab/>
        <w:t>Marcelo Rodrigues</w:t>
      </w:r>
    </w:p>
    <w:p>
      <w:pPr>
        <w:pStyle w:val="Normal"/>
        <w:jc w:val="both"/>
        <w:rPr/>
      </w:pPr>
      <w:r>
        <w:rPr/>
      </w:r>
    </w:p>
    <w:p>
      <w:pPr>
        <w:pStyle w:val="Normal"/>
        <w:jc w:val="both"/>
        <w:rPr/>
      </w:pPr>
      <w:r>
        <w:rPr/>
        <w:t xml:space="preserve">To: </w:t>
        <w:tab/>
        <w:t>Enron International</w:t>
      </w:r>
    </w:p>
    <w:p>
      <w:pPr>
        <w:pStyle w:val="Normal"/>
        <w:ind w:firstLine="720" w:end="0"/>
        <w:jc w:val="both"/>
        <w:rPr/>
      </w:pPr>
      <w:r>
        <w:rPr/>
        <w:t xml:space="preserve">Ms. Sara Shackleton </w:t>
      </w:r>
    </w:p>
    <w:p>
      <w:pPr>
        <w:pStyle w:val="Normal"/>
        <w:jc w:val="both"/>
        <w:rPr/>
      </w:pPr>
      <w:r>
        <w:rPr/>
        <w:tab/>
        <w:t>Ms. Andrea Bertone</w:t>
      </w:r>
    </w:p>
    <w:p>
      <w:pPr>
        <w:pStyle w:val="Normal"/>
        <w:jc w:val="both"/>
        <w:rPr/>
      </w:pPr>
      <w:r>
        <w:rPr/>
      </w:r>
    </w:p>
    <w:p>
      <w:pPr>
        <w:pStyle w:val="Normal"/>
        <w:jc w:val="both"/>
        <w:rPr/>
      </w:pPr>
      <w:r>
        <w:rPr/>
        <w:t xml:space="preserve">Date: </w:t>
        <w:tab/>
        <w:t>October 19, 1999</w:t>
      </w:r>
    </w:p>
    <w:p>
      <w:pPr>
        <w:pStyle w:val="Normal"/>
        <w:jc w:val="center"/>
        <w:rPr/>
      </w:pPr>
      <w:r>
        <w:rPr/>
      </w:r>
    </w:p>
    <w:p>
      <w:pPr>
        <w:pStyle w:val="Normal"/>
        <w:jc w:val="center"/>
        <w:rPr/>
      </w:pPr>
      <w:r>
        <w:rPr/>
      </w:r>
    </w:p>
    <w:p>
      <w:pPr>
        <w:pStyle w:val="BodyText"/>
        <w:rPr>
          <w:rFonts w:ascii="CG Times" w:hAnsi="CG Times" w:cs="CG Times"/>
        </w:rPr>
      </w:pPr>
      <w:r>
        <w:rPr>
          <w:rFonts w:cs="CG Times" w:ascii="CG Times" w:hAnsi="CG Times"/>
        </w:rPr>
        <w:t>Dear Sarah and Andrea:</w:t>
      </w:r>
    </w:p>
    <w:p>
      <w:pPr>
        <w:pStyle w:val="Normal"/>
        <w:jc w:val="both"/>
        <w:rPr>
          <w:rFonts w:ascii="CG Times" w:hAnsi="CG Times" w:cs="CG Times"/>
        </w:rPr>
      </w:pPr>
      <w:r>
        <w:rPr>
          <w:rFonts w:cs="CG Times"/>
        </w:rPr>
      </w:r>
    </w:p>
    <w:p>
      <w:pPr>
        <w:pStyle w:val="Normal"/>
        <w:jc w:val="both"/>
        <w:rPr/>
      </w:pPr>
      <w:r>
        <w:rPr/>
      </w:r>
    </w:p>
    <w:p>
      <w:pPr>
        <w:pStyle w:val="Normal"/>
        <w:jc w:val="both"/>
        <w:rPr/>
      </w:pPr>
      <w:r>
        <w:rPr/>
        <w:t>We refer to your request to the preparation of memorandum describing certain mechanisms to carry out financial trading in Brazil.</w:t>
      </w:r>
    </w:p>
    <w:p>
      <w:pPr>
        <w:pStyle w:val="Normal"/>
        <w:rPr/>
      </w:pPr>
      <w:r>
        <w:rPr/>
      </w:r>
    </w:p>
    <w:p>
      <w:pPr>
        <w:pStyle w:val="Normal"/>
        <w:jc w:val="center"/>
        <w:rPr/>
      </w:pPr>
      <w:r>
        <w:rPr/>
      </w:r>
    </w:p>
    <w:p>
      <w:pPr>
        <w:pStyle w:val="Heading1"/>
        <w:ind w:hanging="0" w:start="0"/>
        <w:rPr>
          <w:u w:val="none"/>
        </w:rPr>
      </w:pPr>
      <w:r>
        <w:rPr>
          <w:u w:val="none"/>
        </w:rPr>
        <w:t>(i) Institutional Investors Portfolios – (“Annex IV”)</w:t>
      </w:r>
    </w:p>
    <w:p>
      <w:pPr>
        <w:pStyle w:val="Normal"/>
        <w:jc w:val="both"/>
        <w:rPr>
          <w:u w:val="none"/>
        </w:rPr>
      </w:pPr>
      <w:r>
        <w:rPr>
          <w:u w:val="none"/>
        </w:rPr>
      </w:r>
    </w:p>
    <w:p>
      <w:pPr>
        <w:pStyle w:val="Normal"/>
        <w:jc w:val="both"/>
        <w:rPr/>
      </w:pPr>
      <w:r>
        <w:rPr/>
      </w:r>
    </w:p>
    <w:p>
      <w:pPr>
        <w:pStyle w:val="Normal"/>
        <w:jc w:val="both"/>
        <w:rPr/>
      </w:pPr>
      <w:r>
        <w:rPr/>
        <w:t>Resolution 1832, issued by the Central Bank of Brazil on May 31, 1991, created a mechanism of portfolio investment in Brazil for investors domiciled abroad. Such Resolution incorporated a new Annex (Annex IV) into Central Bank Resolution 1289, dated March 20, 1987. Annex IV’ investments currently represent the most significant form of foreign portfolio investment in Brazil.</w:t>
      </w:r>
    </w:p>
    <w:p>
      <w:pPr>
        <w:pStyle w:val="Normal"/>
        <w:jc w:val="both"/>
        <w:rPr/>
      </w:pPr>
      <w:r>
        <w:rPr/>
      </w:r>
    </w:p>
    <w:p>
      <w:pPr>
        <w:pStyle w:val="Normal"/>
        <w:jc w:val="both"/>
        <w:rPr/>
      </w:pPr>
      <w:r>
        <w:rPr/>
        <w:t>Pursuant to ‘Annex IV’ regulations, certain qualified foreign institutional investors are allowed to establish and maintain their own portfolio investment in Brazil. Instruction 169, which copy is attached hereto, issued by the CVM on January 02, 1992, defines the investors which are eligible for registration as foreign institutional investors.</w:t>
      </w:r>
    </w:p>
    <w:p>
      <w:pPr>
        <w:pStyle w:val="Normal"/>
        <w:jc w:val="both"/>
        <w:rPr/>
      </w:pPr>
      <w:r>
        <w:rPr/>
      </w:r>
    </w:p>
    <w:p>
      <w:pPr>
        <w:pStyle w:val="Normal"/>
        <w:jc w:val="both"/>
        <w:rPr/>
      </w:pPr>
      <w:r>
        <w:rPr/>
        <w:t>Some examples of eligible ‘Annex IV’ investors are: (i) commercial or investment banks regulated by a governmental authority, (ii) insurance companies subject to regulation in their country of origin and having assets in excess of US$ 5,000,000, (iii) pension funds subject to regulation in their country of origin and having assets in excess of US$ 5,000,000, (iv) entities whose purpose is to invest in capital/financial markets and having, for instance, at least 30 partners, shareholders or beneficiaries and assets in excess of US$ 5,000,000, or at least 5 partners, shareholders or beneficiaries and assets in excess of US$ 15,000,000, or assets in excess of US$ 5,000,000 and administration by a professional that is subject to regulation by a governmental agency recognized by the CVM. Enron might probably fit into the category described in (iv).</w:t>
      </w:r>
    </w:p>
    <w:p>
      <w:pPr>
        <w:pStyle w:val="Normal"/>
        <w:jc w:val="both"/>
        <w:rPr/>
      </w:pPr>
      <w:r>
        <w:rPr/>
      </w:r>
    </w:p>
    <w:p>
      <w:pPr>
        <w:pStyle w:val="Normal"/>
        <w:jc w:val="both"/>
        <w:rPr/>
      </w:pPr>
      <w:r>
        <w:rPr/>
        <w:t>When applying for registration as a foreign institutional investor, the investor must undertake the obligation of not selling abroad the securities from the portfolio, as well as transferring abroad any rights in connection with such securities only to other foreign institutional investors eligible under Instruction 169, with the corresponding transactions being informed to the CVM.</w:t>
      </w:r>
    </w:p>
    <w:p>
      <w:pPr>
        <w:pStyle w:val="Normal"/>
        <w:jc w:val="both"/>
        <w:rPr/>
      </w:pPr>
      <w:r>
        <w:rPr/>
      </w:r>
    </w:p>
    <w:p>
      <w:pPr>
        <w:pStyle w:val="Normal"/>
        <w:jc w:val="both"/>
        <w:rPr/>
      </w:pPr>
      <w:r>
        <w:rPr/>
        <w:t>It is mandatory that a Brazilian entity authorized by the CVM act as the administrator of the portfolio in Brazil. The Brazilian administrator is responsible for, among others,  the creation and proper maintenance of the registration of the foreign investment with the Central Bank of Brazil, the exchange transactions relating to the investment, the remittance of dividends and proceeds relating to capital gains and repatriation of capital, the payment of the applicable taxes, and the keeping of records and documentation. Information about the flow of money in and out of the portfolio must be submitted monthly by the administrator to the CVM. The administration fee is freely negotiated between the interested parties.</w:t>
      </w:r>
    </w:p>
    <w:p>
      <w:pPr>
        <w:pStyle w:val="Normal"/>
        <w:jc w:val="both"/>
        <w:rPr/>
      </w:pPr>
      <w:r>
        <w:rPr/>
      </w:r>
    </w:p>
    <w:p>
      <w:pPr>
        <w:pStyle w:val="BodyText"/>
        <w:rPr/>
      </w:pPr>
      <w:r>
        <w:rPr/>
        <w:t>It should be noted that the administrator is responsible for any and all actions taken on behalf of the investor, and a declaration for that purpose must be signed prior to the establishment of the portfolio. Despite the several important functions performed by the Brazilian administrator, ‘Annex IV’ investors are allowed to make their own investment decisions, meaning that the management of the portfolio is not in the hands of the local administrator.</w:t>
      </w:r>
    </w:p>
    <w:p>
      <w:pPr>
        <w:pStyle w:val="Normal"/>
        <w:jc w:val="both"/>
        <w:rPr/>
      </w:pPr>
      <w:r>
        <w:rPr/>
      </w:r>
    </w:p>
    <w:p>
      <w:pPr>
        <w:pStyle w:val="Normal"/>
        <w:jc w:val="both"/>
        <w:rPr/>
      </w:pPr>
      <w:r>
        <w:rPr/>
        <w:t xml:space="preserve">The securities from ‘Annex IV’ portfolios cannot be pledged, loaned or leased, except if authorized by the CVM. In addition, the following restrictions apply to the portfolio: (i) the foreign investor cannot use portfolio funds to acquire control or increase its shareholdings in subsidiaries or affiliates, (ii)  portfolio funds cannot be used to buy shares of closely-held corporations, (iii) the foreign investor cannot buy or sell shares of companies listed on exchanges in off-exchange transactions, except upon subscription of new shares or conversion of debentures, (iv) the foreign investor cannot buy or sell shares traded in unregulated over-the-counter markets, (v) portfolio funds cannot be used in transactions that would result in the transfer of a company’s control from an entity controlled by a natural person in Brazil to a person domiciled abroad. </w:t>
      </w:r>
    </w:p>
    <w:p>
      <w:pPr>
        <w:pStyle w:val="Normal"/>
        <w:jc w:val="both"/>
        <w:rPr/>
      </w:pPr>
      <w:r>
        <w:rPr/>
      </w:r>
    </w:p>
    <w:p>
      <w:pPr>
        <w:pStyle w:val="Normal"/>
        <w:jc w:val="both"/>
        <w:rPr/>
      </w:pPr>
      <w:r>
        <w:rPr/>
        <w:t>Portfolio funds that are not allocated to securities issued by publicly-held corporations can be invest in (i) derivatives transactions entered into in exchanges or in organized over-the-counter markets, provided that such transactions must refer to hedging of the portfolio, (ii) Brazilian Treasury Notes and Central Bank Notes provided that such securities are deposited as margin in connection with transactions executed in future or stock exchanges (iii) fixed income securities provided however that such securities do not exceed 30% of the portfolio's net worth and (iv) other investments authorized by the Central Bank and CVM.</w:t>
      </w:r>
    </w:p>
    <w:p>
      <w:pPr>
        <w:pStyle w:val="Normal"/>
        <w:jc w:val="both"/>
        <w:rPr/>
      </w:pPr>
      <w:r>
        <w:rPr/>
      </w:r>
    </w:p>
    <w:p>
      <w:pPr>
        <w:pStyle w:val="Normal"/>
        <w:jc w:val="both"/>
        <w:rPr/>
      </w:pPr>
      <w:r>
        <w:rPr/>
        <w:t>Portfolio funds can also be invested in convertible debentures publicly offered, provided that their minimum maturity term is three years. There are no limitations relating to investment in securities of a single issuer. Nevertheless, portfolio funds can not be invested in securities (excluding shares) issued by public entities.</w:t>
      </w:r>
    </w:p>
    <w:p>
      <w:pPr>
        <w:pStyle w:val="Normal"/>
        <w:jc w:val="both"/>
        <w:rPr/>
      </w:pPr>
      <w:r>
        <w:rPr/>
      </w:r>
    </w:p>
    <w:p>
      <w:pPr>
        <w:pStyle w:val="Normal"/>
        <w:jc w:val="both"/>
        <w:rPr/>
      </w:pPr>
      <w:r>
        <w:rPr/>
      </w:r>
    </w:p>
    <w:p>
      <w:pPr>
        <w:pStyle w:val="Heading1"/>
        <w:ind w:hanging="0" w:start="0"/>
        <w:rPr>
          <w:b w:val="false"/>
          <w:u w:val="none"/>
        </w:rPr>
      </w:pPr>
      <w:r>
        <w:rPr>
          <w:u w:val="none"/>
        </w:rPr>
        <w:t>(ii) Depositary Receipts (“Annex V”)</w:t>
      </w:r>
    </w:p>
    <w:p>
      <w:pPr>
        <w:pStyle w:val="Normal"/>
        <w:jc w:val="both"/>
        <w:rPr>
          <w:b/>
          <w:u w:val="none"/>
        </w:rPr>
      </w:pPr>
      <w:r>
        <w:rPr>
          <w:b/>
          <w:u w:val="none"/>
        </w:rPr>
      </w:r>
    </w:p>
    <w:p>
      <w:pPr>
        <w:pStyle w:val="Normal"/>
        <w:jc w:val="both"/>
        <w:rPr/>
      </w:pPr>
      <w:r>
        <w:rPr/>
      </w:r>
    </w:p>
    <w:p>
      <w:pPr>
        <w:pStyle w:val="Normal"/>
        <w:jc w:val="both"/>
        <w:rPr/>
      </w:pPr>
      <w:r>
        <w:rPr/>
        <w:t>Publicly-held Brazilian corporations can have depository receipts  (DRs) representing their shares traded in foreign markets. Under a program of DRs, shares of a Brazilian corporation are held in custody by a Brazilian Custodian on behalf of a foreign Depository. The Depository issues DRs representing the company’s shares. The DRs can then be traded abroad in the currency and according to the regulations from the jurisdiction in which they are traded.</w:t>
      </w:r>
    </w:p>
    <w:p>
      <w:pPr>
        <w:pStyle w:val="Normal"/>
        <w:jc w:val="both"/>
        <w:rPr/>
      </w:pPr>
      <w:r>
        <w:rPr/>
      </w:r>
    </w:p>
    <w:p>
      <w:pPr>
        <w:pStyle w:val="Normal"/>
        <w:jc w:val="both"/>
        <w:rPr/>
      </w:pPr>
      <w:r>
        <w:rPr/>
        <w:t>According to the type of DR program established by the corporation, foreign investors may acquire DRs in the primary market upon issuance of new shares by the company and/or buy and sell DRs in the secondary market, either over-the-counter or in exchange transactions.</w:t>
      </w:r>
    </w:p>
    <w:p>
      <w:pPr>
        <w:pStyle w:val="Normal"/>
        <w:jc w:val="both"/>
        <w:rPr/>
      </w:pPr>
      <w:r>
        <w:rPr/>
      </w:r>
    </w:p>
    <w:p>
      <w:pPr>
        <w:pStyle w:val="Normal"/>
        <w:jc w:val="both"/>
        <w:rPr/>
      </w:pPr>
      <w:r>
        <w:rPr/>
        <w:t>Investments in DRs are regulated in Brazil mainly by Resolution 1927, issued by the Central Bank of Brazil on May 18, 1992, which incorporated ‘Annex V’ into Central Bank Resolution 1289, dated March 20, 1987. Such regulation refers basically to foreign capital registration and procedures for remittances of funds abroad.</w:t>
      </w:r>
    </w:p>
    <w:p>
      <w:pPr>
        <w:pStyle w:val="Normal"/>
        <w:jc w:val="both"/>
        <w:rPr/>
      </w:pPr>
      <w:r>
        <w:rPr/>
      </w:r>
    </w:p>
    <w:p>
      <w:pPr>
        <w:pStyle w:val="Normal"/>
        <w:jc w:val="both"/>
        <w:rPr/>
      </w:pPr>
      <w:r>
        <w:rPr/>
        <w:t xml:space="preserve">DR programs must be approved by the CVM, which reviews the Custody Agreement, the Deposit Agreement, and other documents relating to the program prior to granting such authorization. </w:t>
      </w:r>
    </w:p>
    <w:p>
      <w:pPr>
        <w:pStyle w:val="Normal"/>
        <w:jc w:val="both"/>
        <w:rPr/>
      </w:pPr>
      <w:r>
        <w:rPr/>
      </w:r>
    </w:p>
    <w:p>
      <w:pPr>
        <w:pStyle w:val="Normal"/>
        <w:jc w:val="both"/>
        <w:rPr/>
      </w:pPr>
      <w:r>
        <w:rPr/>
        <w:t>The registration with the Central Bank of Brazil of foreign investments related to DR programs is established by the Custodian prior to the first transfer of money to Brazil with respect to the DRs. The Custodian is then responsible for keeping the registration updated, informing the Central Bank of every increase or decrease thereof.</w:t>
      </w:r>
    </w:p>
    <w:p>
      <w:pPr>
        <w:pStyle w:val="Normal"/>
        <w:jc w:val="both"/>
        <w:rPr/>
      </w:pPr>
      <w:r>
        <w:rPr/>
      </w:r>
    </w:p>
    <w:p>
      <w:pPr>
        <w:pStyle w:val="Normal"/>
        <w:jc w:val="both"/>
        <w:rPr/>
      </w:pPr>
      <w:r>
        <w:rPr/>
        <w:t>The registration increases upon (i) primary or secondary offerings, and sales occurring abroad, situations in which Drs are placed abroad by either the company or a shareholder, (ii) inflow of funds related to the acquisition of shares in Brazil by a foreign investor, where the shares are exchanged for Drs, (iii) transfers to the DR program of shares registered under a different type of foreign investment, and (iv) capitalization or distribution of stock dividends.</w:t>
      </w:r>
    </w:p>
    <w:p>
      <w:pPr>
        <w:pStyle w:val="Normal"/>
        <w:jc w:val="both"/>
        <w:rPr/>
      </w:pPr>
      <w:r>
        <w:rPr/>
      </w:r>
    </w:p>
    <w:p>
      <w:pPr>
        <w:pStyle w:val="Normal"/>
        <w:jc w:val="both"/>
        <w:rPr/>
      </w:pPr>
      <w:r>
        <w:rPr/>
        <w:t>The registration decreases upon (i) redemption of DRs and subsequent sale of the underlying shares in Brazil, with the proceeds being remitted abroad, and (ii) transfers of shares from the DR program to the registration of a different type of foreign investment.</w:t>
      </w:r>
    </w:p>
    <w:p>
      <w:pPr>
        <w:pStyle w:val="Normal"/>
        <w:jc w:val="both"/>
        <w:rPr/>
      </w:pPr>
      <w:r>
        <w:rPr/>
      </w:r>
    </w:p>
    <w:p>
      <w:pPr>
        <w:pStyle w:val="Normal"/>
        <w:jc w:val="both"/>
        <w:rPr/>
      </w:pPr>
      <w:r>
        <w:rPr/>
        <w:t>If a foreign investor decides to redeem the DRs in exchange for the corresponding underlying shares of the company, the foreign investor can rely on the registration relating to the DR program for five days in order to remit abroad the proceeds from the sale of the underlying shares. There is currently no withholding of income tax with respect to capital gains realized upon the sale of such underlying shares.</w:t>
      </w:r>
    </w:p>
    <w:p>
      <w:pPr>
        <w:pStyle w:val="Normal"/>
        <w:jc w:val="both"/>
        <w:rPr/>
      </w:pPr>
      <w:r>
        <w:rPr/>
      </w:r>
    </w:p>
    <w:p>
      <w:pPr>
        <w:pStyle w:val="Normal"/>
        <w:jc w:val="both"/>
        <w:rPr/>
      </w:pPr>
      <w:r>
        <w:rPr/>
        <w:t xml:space="preserve">In addition, DR holders are eligible to receive dividends distributed by the company. The Custodian collects the dividends from the company on behalf of the DR holders, executes a foreign exchange contract in order to convert the amount received in </w:t>
      </w:r>
      <w:r>
        <w:rPr>
          <w:i/>
        </w:rPr>
        <w:t>reais</w:t>
      </w:r>
      <w:r>
        <w:rPr/>
        <w:t xml:space="preserve"> to the applicable currency, and remits the money to the Depositary, which is responsible for the distribution to the DR holders.  </w:t>
      </w:r>
    </w:p>
    <w:p>
      <w:pPr>
        <w:pStyle w:val="Normal"/>
        <w:rPr/>
      </w:pPr>
      <w:r>
        <w:rPr/>
      </w:r>
    </w:p>
    <w:p>
      <w:pPr>
        <w:pStyle w:val="Normal"/>
        <w:rPr/>
      </w:pPr>
      <w:r>
        <w:rPr/>
      </w:r>
    </w:p>
    <w:p>
      <w:pPr>
        <w:pStyle w:val="Heading1"/>
        <w:ind w:hanging="0" w:start="0"/>
        <w:rPr>
          <w:u w:val="none"/>
        </w:rPr>
      </w:pPr>
      <w:r>
        <w:rPr>
          <w:u w:val="none"/>
        </w:rPr>
        <w:t>(iii) Investments through International Transfer of Brazilian Currency Mechanism (“the International Transfer”)</w:t>
      </w:r>
    </w:p>
    <w:p>
      <w:pPr>
        <w:pStyle w:val="Normal"/>
        <w:rPr>
          <w:u w:val="none"/>
        </w:rPr>
      </w:pPr>
      <w:r>
        <w:rPr>
          <w:u w:val="none"/>
        </w:rPr>
      </w:r>
    </w:p>
    <w:p>
      <w:pPr>
        <w:pStyle w:val="Normal"/>
        <w:rPr/>
      </w:pPr>
      <w:r>
        <w:rPr/>
      </w:r>
    </w:p>
    <w:p>
      <w:pPr>
        <w:pStyle w:val="Header"/>
        <w:tabs>
          <w:tab w:val="clear" w:pos="4320"/>
          <w:tab w:val="clear" w:pos="8640"/>
        </w:tabs>
        <w:jc w:val="both"/>
        <w:rPr/>
      </w:pPr>
      <w:r>
        <w:rPr/>
        <w:t>Foreign investors have direct access to the Brazilian financial and capital markets through the International Transfer. Under the International Transfer, any foreign investor may carry out any derivatives and/or fixed income transactions, as well as any other financial market investments allowed under Brazilian law, such as investment in government and corporate bonds.</w:t>
      </w:r>
    </w:p>
    <w:p>
      <w:pPr>
        <w:pStyle w:val="Header"/>
        <w:tabs>
          <w:tab w:val="clear" w:pos="4320"/>
          <w:tab w:val="clear" w:pos="8640"/>
        </w:tabs>
        <w:jc w:val="both"/>
        <w:rPr/>
      </w:pPr>
      <w:r>
        <w:rPr/>
      </w:r>
    </w:p>
    <w:p>
      <w:pPr>
        <w:pStyle w:val="Header"/>
        <w:tabs>
          <w:tab w:val="clear" w:pos="4320"/>
          <w:tab w:val="clear" w:pos="8640"/>
        </w:tabs>
        <w:jc w:val="both"/>
        <w:rPr/>
      </w:pPr>
      <w:r>
        <w:rPr/>
        <w:t>Please note that investments under International Transfer are duly reported to the Central Bank of Brazil and need to be based on detailed documentation reflecting the destination and origin of the funds of the transactions.</w:t>
      </w:r>
    </w:p>
    <w:p>
      <w:pPr>
        <w:pStyle w:val="Header"/>
        <w:tabs>
          <w:tab w:val="clear" w:pos="4320"/>
          <w:tab w:val="clear" w:pos="8640"/>
        </w:tabs>
        <w:jc w:val="both"/>
        <w:rPr/>
      </w:pPr>
      <w:r>
        <w:rPr/>
      </w:r>
    </w:p>
    <w:p>
      <w:pPr>
        <w:pStyle w:val="BodyText"/>
        <w:rPr>
          <w:rFonts w:ascii="CG Times" w:hAnsi="CG Times" w:cs="CG Times"/>
        </w:rPr>
      </w:pPr>
      <w:r>
        <w:rPr>
          <w:rFonts w:cs="CG Times" w:ascii="CG Times" w:hAnsi="CG Times"/>
        </w:rPr>
        <w:t>Similar to Annex IV mechanism, investments under International Transfer require a local legal representative for tax purposes, fully liable for the foreign investor’s operations in the country. The foreign investor will receive the same tax treatment of a local or resident investor.</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Please note that, for local investors, capital gains incurred in fixed income transactions are generally applied at the rate of 20% and capital gains incurred in equity investments are generally applied at the rate of 10%.</w:t>
      </w:r>
    </w:p>
    <w:p>
      <w:pPr>
        <w:pStyle w:val="Normal"/>
        <w:jc w:val="both"/>
        <w:rPr>
          <w:rFonts w:ascii="CG Times" w:hAnsi="CG Times" w:cs="CG Times"/>
        </w:rPr>
      </w:pPr>
      <w:r>
        <w:rPr>
          <w:rFonts w:cs="CG Times"/>
        </w:rPr>
      </w:r>
    </w:p>
    <w:p>
      <w:pPr>
        <w:pStyle w:val="BodyText"/>
        <w:rPr>
          <w:rFonts w:ascii="CG Times" w:hAnsi="CG Times" w:cs="CG Times"/>
        </w:rPr>
      </w:pPr>
      <w:r>
        <w:rPr>
          <w:rFonts w:cs="CG Times" w:ascii="CG Times" w:hAnsi="CG Times"/>
        </w:rPr>
        <w:t xml:space="preserve">Annex IV assets and cash cannot be commingled with assets deriving from transactions made under the International Transfer, since these are two different vehicles with different tax treatments and registration processes. </w:t>
      </w:r>
    </w:p>
    <w:p>
      <w:pPr>
        <w:pStyle w:val="Normal"/>
        <w:rPr>
          <w:rFonts w:ascii="CG Times" w:hAnsi="CG Times" w:cs="CG Times"/>
        </w:rPr>
      </w:pPr>
      <w:r>
        <w:rPr>
          <w:rFonts w:cs="CG Times"/>
        </w:rPr>
      </w:r>
    </w:p>
    <w:p>
      <w:pPr>
        <w:pStyle w:val="BodyText"/>
        <w:rPr>
          <w:rFonts w:ascii="CG Times" w:hAnsi="CG Times" w:cs="CG Times"/>
        </w:rPr>
      </w:pPr>
      <w:r>
        <w:rPr>
          <w:rFonts w:cs="CG Times" w:ascii="CG Times" w:hAnsi="CG Times"/>
        </w:rPr>
        <w:t>In addition, it is important to note that government bonds in Brazil are traded OTC and cleared and safekept in a system named SELIC, as defined below, the ownership and control of which belong to the Central Bank of Brazil. Corporate bonds are also traded OTC and cleared and safekept in a system named CETIP, as defined below, the ownership and control of which belong to ANDIMA, as defined below, an association of Brazilian financial institutions.</w:t>
      </w:r>
    </w:p>
    <w:p>
      <w:pPr>
        <w:pStyle w:val="Normal"/>
        <w:rPr>
          <w:rFonts w:ascii="CG Times" w:hAnsi="CG Times" w:cs="CG Times"/>
        </w:rPr>
      </w:pPr>
      <w:r>
        <w:rPr>
          <w:rFonts w:cs="CG Times"/>
        </w:rPr>
      </w:r>
    </w:p>
    <w:p>
      <w:pPr>
        <w:pStyle w:val="BodyText"/>
        <w:rPr>
          <w:rFonts w:ascii="CG Times" w:hAnsi="CG Times" w:cs="CG Times"/>
        </w:rPr>
      </w:pPr>
      <w:r>
        <w:rPr>
          <w:rFonts w:cs="CG Times" w:ascii="CG Times" w:hAnsi="CG Times"/>
        </w:rPr>
        <w:t>Some of the traded government bonds are: BBC (Bônus do Banco Central), NBC (Notas do Banco Central), NTN (Notas do Tesouro Nacional) and LTN (Letras do Tesouro Nacional).</w:t>
      </w:r>
    </w:p>
    <w:p>
      <w:pPr>
        <w:pStyle w:val="Heading3"/>
        <w:spacing w:before="0" w:after="0"/>
        <w:ind w:hanging="0" w:start="0"/>
        <w:rPr>
          <w:rFonts w:ascii="Times New Roman" w:hAnsi="Times New Roman" w:cs="Times New Roman"/>
          <w:i/>
          <w:i/>
        </w:rPr>
      </w:pPr>
      <w:r>
        <w:rPr>
          <w:rFonts w:cs="Times New Roman" w:ascii="Times New Roman" w:hAnsi="Times New Roman"/>
          <w:i/>
        </w:rPr>
      </w:r>
    </w:p>
    <w:p>
      <w:pPr>
        <w:pStyle w:val="Heading3"/>
        <w:spacing w:before="0" w:after="0"/>
        <w:ind w:hanging="0" w:start="0"/>
        <w:jc w:val="both"/>
        <w:rPr>
          <w:rFonts w:ascii="CG Times" w:hAnsi="CG Times" w:cs="CG Times"/>
          <w:b w:val="false"/>
        </w:rPr>
      </w:pPr>
      <w:r>
        <w:rPr>
          <w:rFonts w:cs="CG Times" w:ascii="CG Times" w:hAnsi="CG Times"/>
          <w:b w:val="false"/>
        </w:rPr>
        <w:t>Please note that ANDIMA stands for “Associação Nacional das Instituições do Mercado Aberto” (National Association of Open Market Institutions).</w:t>
      </w:r>
    </w:p>
    <w:p>
      <w:pPr>
        <w:pStyle w:val="Heading3"/>
        <w:spacing w:before="0" w:after="0"/>
        <w:ind w:hanging="0" w:start="0"/>
        <w:jc w:val="both"/>
        <w:rPr>
          <w:rFonts w:ascii="CG Times" w:hAnsi="CG Times" w:cs="CG Times"/>
          <w:b w:val="false"/>
        </w:rPr>
      </w:pPr>
      <w:r>
        <w:rPr>
          <w:rFonts w:cs="CG Times" w:ascii="CG Times" w:hAnsi="CG Times"/>
          <w:b w:val="false"/>
        </w:rPr>
      </w:r>
    </w:p>
    <w:p>
      <w:pPr>
        <w:pStyle w:val="Heading3"/>
        <w:spacing w:before="0" w:after="0"/>
        <w:ind w:hanging="0" w:start="0"/>
        <w:jc w:val="both"/>
        <w:rPr>
          <w:rFonts w:ascii="CG Times" w:hAnsi="CG Times" w:cs="CG Times"/>
          <w:b w:val="false"/>
        </w:rPr>
      </w:pPr>
      <w:r>
        <w:rPr>
          <w:rFonts w:cs="CG Times" w:ascii="CG Times" w:hAnsi="CG Times"/>
          <w:b w:val="false"/>
        </w:rPr>
        <w:t>SELIC stands for “Sistema Especial de Liquidação e Custódia” (Special System of Settlement and Custody).</w:t>
      </w:r>
    </w:p>
    <w:p>
      <w:pPr>
        <w:pStyle w:val="Normal"/>
        <w:rPr>
          <w:rFonts w:ascii="CG Times" w:hAnsi="CG Times" w:cs="CG Times"/>
          <w:b/>
        </w:rPr>
      </w:pPr>
      <w:r>
        <w:rPr>
          <w:rFonts w:cs="CG Times"/>
          <w:b/>
        </w:rPr>
      </w:r>
    </w:p>
    <w:p>
      <w:pPr>
        <w:pStyle w:val="Heading3"/>
        <w:spacing w:before="0" w:after="0"/>
        <w:ind w:hanging="0" w:start="0"/>
        <w:jc w:val="both"/>
        <w:rPr>
          <w:rFonts w:ascii="CG Times" w:hAnsi="CG Times" w:cs="CG Times"/>
          <w:b w:val="false"/>
        </w:rPr>
      </w:pPr>
      <w:r>
        <w:rPr>
          <w:rFonts w:cs="CG Times" w:ascii="CG Times" w:hAnsi="CG Times"/>
          <w:b w:val="false"/>
        </w:rPr>
        <w:t>CETIP stands for “Central de Custódia e Liquidação Financeira de Títulos” (Center for Custody of Financial Settlement of Securities).</w:t>
      </w:r>
    </w:p>
    <w:p>
      <w:pPr>
        <w:pStyle w:val="Normal"/>
        <w:rPr>
          <w:rFonts w:ascii="CG Times" w:hAnsi="CG Times" w:cs="CG Times"/>
          <w:b/>
        </w:rPr>
      </w:pPr>
      <w:r>
        <w:rPr>
          <w:rFonts w:cs="CG Times"/>
          <w:b/>
        </w:rPr>
      </w:r>
    </w:p>
    <w:p>
      <w:pPr>
        <w:pStyle w:val="Normal"/>
        <w:rPr/>
      </w:pPr>
      <w:r>
        <w:rPr/>
      </w:r>
    </w:p>
    <w:p>
      <w:pPr>
        <w:pStyle w:val="Header"/>
        <w:jc w:val="both"/>
        <w:rPr>
          <w:b/>
        </w:rPr>
      </w:pPr>
      <w:r>
        <w:rPr>
          <w:b/>
        </w:rPr>
        <w:t>(iv) International Swap Transactions (Cross boarder Swaps)</w:t>
      </w:r>
    </w:p>
    <w:p>
      <w:pPr>
        <w:pStyle w:val="Header"/>
        <w:jc w:val="both"/>
        <w:rPr>
          <w:b/>
        </w:rPr>
      </w:pPr>
      <w:r>
        <w:rPr>
          <w:b/>
        </w:rPr>
      </w:r>
    </w:p>
    <w:p>
      <w:pPr>
        <w:pStyle w:val="Header"/>
        <w:jc w:val="both"/>
        <w:rPr/>
      </w:pPr>
      <w:r>
        <w:rPr/>
      </w:r>
    </w:p>
    <w:p>
      <w:pPr>
        <w:pStyle w:val="Header"/>
        <w:jc w:val="both"/>
        <w:rPr/>
      </w:pPr>
      <w:r>
        <w:rPr/>
        <w:t xml:space="preserve">Central Bank regulations authorize that Brazilian companies enter into transactions abroad, either in exchanges or having a financial institution as their counterpart, to hedge against the fluctuation of interest rates, exchange rates or commodity prices in the international markets. </w:t>
      </w:r>
    </w:p>
    <w:p>
      <w:pPr>
        <w:pStyle w:val="Header"/>
        <w:jc w:val="both"/>
        <w:rPr/>
      </w:pPr>
      <w:r>
        <w:rPr/>
      </w:r>
    </w:p>
    <w:p>
      <w:pPr>
        <w:pStyle w:val="Header"/>
        <w:jc w:val="both"/>
        <w:rPr/>
      </w:pPr>
      <w:r>
        <w:rPr/>
        <w:t>Such swap transactions must refer to (i) payments in foreign currency scheduled to be made by or to the Brazilian company in respect of commercial or financial rights or obligations, (ii) payments in local currency arising out of certain financial obligations subject to the variation of exchange rates, or (iii) payments relating to imports, exports or local transactions involving commodities priced according to their valuation in foreign exchanges. The “commercial rate foreign exchange market” is applicable to foreign exchange agreements referring to remittances of currency in connection with swap transactions.</w:t>
      </w:r>
    </w:p>
    <w:p>
      <w:pPr>
        <w:pStyle w:val="Header"/>
        <w:jc w:val="both"/>
        <w:rPr/>
      </w:pPr>
      <w:r>
        <w:rPr/>
      </w:r>
    </w:p>
    <w:p>
      <w:pPr>
        <w:pStyle w:val="BodyText"/>
        <w:rPr/>
      </w:pPr>
      <w:r>
        <w:rPr/>
        <w:t>When the underlying obligation/right is registered with the Central Bank, the corresponding swap transaction must be informed to the Central Bank within 10 days of its execution. When there is no registration with the Central Bank, the banks executing the foreign exchange agreements relating to the swap transaction must verify the existence of the obligation/right being hedged.</w:t>
      </w:r>
    </w:p>
    <w:p>
      <w:pPr>
        <w:pStyle w:val="Normal"/>
        <w:rPr/>
      </w:pPr>
      <w:r>
        <w:rPr/>
      </w:r>
    </w:p>
    <w:p>
      <w:pPr>
        <w:pStyle w:val="BodyText"/>
        <w:rPr>
          <w:rFonts w:ascii="CG Times" w:hAnsi="CG Times" w:cs="CG Times"/>
        </w:rPr>
      </w:pPr>
      <w:r>
        <w:rPr>
          <w:rFonts w:cs="CG Times" w:ascii="CG Times" w:hAnsi="CG Times"/>
        </w:rPr>
        <w:t>Cross boarder swap transactions may also be carried out through the International Transfer. In this case, it not necessary that the foreign counterpart be a financial institution or that the swap be traded on exchanges. In addition, such transactions are similar to local OTC swap transactions, receiving the same tax treatment and subject to the same principles and assumptions.</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r>
    </w:p>
    <w:p>
      <w:pPr>
        <w:pStyle w:val="BodyText"/>
        <w:rPr>
          <w:rFonts w:ascii="CG Times" w:hAnsi="CG Times" w:cs="CG Times"/>
          <w:b/>
        </w:rPr>
      </w:pPr>
      <w:r>
        <w:rPr>
          <w:rFonts w:cs="CG Times" w:ascii="CG Times" w:hAnsi="CG Times"/>
          <w:b/>
        </w:rPr>
        <w:t>(v) Local Swap Transactions</w:t>
      </w:r>
    </w:p>
    <w:p>
      <w:pPr>
        <w:pStyle w:val="BodyText"/>
        <w:rPr>
          <w:rFonts w:ascii="CG Times" w:hAnsi="CG Times" w:cs="CG Times"/>
          <w:b/>
        </w:rPr>
      </w:pPr>
      <w:r>
        <w:rPr>
          <w:rFonts w:cs="CG Times" w:ascii="CG Times" w:hAnsi="CG Times"/>
          <w:b/>
        </w:rPr>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Local swap transactions are traded OTC and may be entered into by and between (a) two Brazilian companies, approximated by a broker, or (b) one Brazilian company and one financial institution. The swap transactions are traded OTC and registration of such transactions is required for enforceability purposes. The swaps may be registered with the São Paulo Commodities and Futures Exchange (the “BM&amp;F”) or with CETIP.</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In order to be registered with either BM&amp;F or CETIP, swap transactions must comply with certain existing regulations and standard agreements, certain information of such standard agreements being, for example: (a) underlying assets, (b) type of transaction (long or short), (c) trading parameters, (d) maturity, and (e) guarantee option (in case of BM&amp;F, if the transaction will be with or without the BM&amp;F guarantee).</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 xml:space="preserve">Please note the contract size and the contract term may be freely agreed upon by the parties, observing the limits established by BM&amp;F or CETIP. Collateral may be required in case of swaps registered with the guarantee of the BM&amp;F. </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t>Finally, for the swap transactions registered with the guarantee option, BM&amp;F considers itself counterpart in such transactions, pursuant to the terms and conditions of the standard agreement and BM&amp;F’s current internal regulations, being in such the BM&amp;F therefore ultimately responsible for the settlement of the swap transactions contracted with the guarantee option.</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r>
    </w:p>
    <w:p>
      <w:pPr>
        <w:pStyle w:val="BodyText"/>
        <w:rPr>
          <w:rFonts w:ascii="CG Times" w:hAnsi="CG Times" w:cs="CG Times"/>
          <w:b/>
        </w:rPr>
      </w:pPr>
      <w:r>
        <w:rPr>
          <w:rFonts w:cs="CG Times" w:ascii="CG Times" w:hAnsi="CG Times"/>
          <w:b/>
        </w:rPr>
        <w:t>NOTE: There have been certain releases in the Brazilian newspapers during the last days informing about changes in the tax regulations related to investments made by foreign investors in Brazil. This memorandum was prepared based on current and available regulations in force up to this date.</w:t>
      </w:r>
    </w:p>
    <w:p>
      <w:pPr>
        <w:pStyle w:val="BodyText"/>
        <w:rPr>
          <w:rFonts w:ascii="CG Times" w:hAnsi="CG Times" w:cs="CG Times"/>
          <w:b/>
        </w:rPr>
      </w:pPr>
      <w:r>
        <w:rPr>
          <w:rFonts w:cs="CG Times" w:ascii="CG Times" w:hAnsi="CG Times"/>
          <w:b/>
        </w:rPr>
      </w:r>
    </w:p>
    <w:p>
      <w:pPr>
        <w:pStyle w:val="BodyText"/>
        <w:rPr>
          <w:rFonts w:ascii="CG Times" w:hAnsi="CG Times" w:cs="CG Times"/>
          <w:b/>
        </w:rPr>
      </w:pPr>
      <w:r>
        <w:rPr>
          <w:rFonts w:cs="CG Times" w:ascii="CG Times" w:hAnsi="CG Times"/>
          <w:b/>
        </w:rPr>
        <w:t>Please note that Antonio Felix de Araujo Cintra is still revising this document and the attached chart. He will return to you as soon as possible with a final version of the mentioned documents.</w:t>
      </w:r>
    </w:p>
    <w:p>
      <w:pPr>
        <w:pStyle w:val="BodyText"/>
        <w:rPr>
          <w:rFonts w:ascii="CG Times" w:hAnsi="CG Times" w:cs="CG Times"/>
          <w:b/>
        </w:rPr>
      </w:pPr>
      <w:r>
        <w:rPr>
          <w:rFonts w:cs="CG Times" w:ascii="CG Times" w:hAnsi="CG Times"/>
          <w:b/>
        </w:rPr>
      </w:r>
    </w:p>
    <w:p>
      <w:pPr>
        <w:pStyle w:val="BodyText"/>
        <w:rPr>
          <w:rFonts w:ascii="CG Times" w:hAnsi="CG Times" w:cs="CG Times"/>
          <w:sz w:val="16"/>
        </w:rPr>
      </w:pPr>
      <w:r>
        <w:rPr>
          <w:rFonts w:cs="CG Times" w:ascii="CG Times" w:hAnsi="CG Times"/>
          <w:sz w:val="16"/>
        </w:rPr>
        <w:t>Mbtos/Clientes/Enron/Memo4.doc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3">
    <w:name w:val="heading 3"/>
    <w:basedOn w:val="Normal"/>
    <w:next w:val="Normal"/>
    <w:qFormat/>
    <w:pPr>
      <w:keepNext w:val="true"/>
      <w:numPr>
        <w:ilvl w:val="2"/>
        <w:numId w:val="1"/>
      </w:numPr>
      <w:spacing w:before="240" w:after="60"/>
      <w:outlineLvl w:val="2"/>
    </w:pPr>
    <w:rPr>
      <w:rFonts w:ascii="Book Antiqua" w:hAnsi="Book Antiqua" w:cs="Book Antiqua"/>
      <w:b/>
      <w:lang w:val="en-GB"/>
    </w:rPr>
  </w:style>
  <w:style w:type="character" w:styleId="WW8NumSt1z0">
    <w:name w:val="WW8NumSt1z0"/>
    <w:qFormat/>
    <w:rPr>
      <w:rFonts w:ascii="Symbol" w:hAnsi="Symbol" w:cs="Symbol"/>
    </w:rPr>
  </w:style>
  <w:style w:type="character" w:styleId="Fontepargpadro">
    <w:name w:val="Fonte parág. padrão"/>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Docvaz-Ing</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1999-10-18T10:05:00Z</dcterms:created>
  <dc:creator>TFTS</dc:creator>
  <dc:description>Documento Vazio em Inglês</dc:description>
  <cp:keywords>Vazio</cp:keywords>
  <dc:language>en-CA</dc:language>
  <cp:lastModifiedBy>TFTS</cp:lastModifiedBy>
  <cp:lastPrinted>1999-10-18T10:35:00Z</cp:lastPrinted>
  <dcterms:modified xsi:type="dcterms:W3CDTF">1999-10-19T12:20:00Z</dcterms:modified>
  <cp:revision>9</cp:revision>
  <dc:subject/>
  <dc:title>Documento Vazio em Inglês</dc:title>
</cp:coreProperties>
</file>