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986"/>
        <w:gridCol w:w="3420"/>
        <w:gridCol w:w="990"/>
        <w:gridCol w:w="900"/>
        <w:gridCol w:w="2340"/>
        <w:gridCol w:w="2072"/>
      </w:tblGrid>
      <w:tr>
        <w:trPr/>
        <w:tc>
          <w:tcPr>
            <w:tcW w:w="986" w:type="dxa"/>
            <w:tcBorders/>
          </w:tcPr>
          <w:p>
            <w:pPr>
              <w:pStyle w:val="Normal"/>
              <w:ind w:start="-180" w:end="0"/>
              <w:jc w:val="end"/>
              <w:rPr/>
            </w:pPr>
            <w:r>
              <w:rPr/>
              <w:t>To:</w:t>
            </w:r>
          </w:p>
        </w:tc>
        <w:tc>
          <w:tcPr>
            <w:tcW w:w="3420" w:type="dxa"/>
            <w:tcBorders/>
          </w:tcPr>
          <w:p>
            <w:pPr>
              <w:pStyle w:val="To"/>
              <w:rPr/>
            </w:pPr>
            <w:r>
              <w:rPr/>
              <w:t>Peggy Hedstrom</w:t>
            </w:r>
          </w:p>
          <w:p>
            <w:pPr>
              <w:pStyle w:val="To"/>
              <w:rPr/>
            </w:pPr>
            <w:r>
              <w:rPr/>
              <w:t>Dianne Seib</w:t>
            </w:r>
          </w:p>
        </w:tc>
        <w:tc>
          <w:tcPr>
            <w:tcW w:w="990" w:type="dxa"/>
            <w:tcBorders/>
          </w:tcPr>
          <w:p>
            <w:pPr>
              <w:pStyle w:val="Normal"/>
              <w:ind w:start="-180" w:end="0"/>
              <w:jc w:val="end"/>
              <w:rPr/>
            </w:pPr>
            <w:r>
              <w:rPr/>
              <w:t>Copy:</w:t>
            </w:r>
          </w:p>
        </w:tc>
        <w:tc>
          <w:tcPr>
            <w:tcW w:w="5312" w:type="dxa"/>
            <w:gridSpan w:val="3"/>
            <w:tcBorders/>
          </w:tcPr>
          <w:p>
            <w:pPr>
              <w:pStyle w:val="Normal"/>
              <w:rPr/>
            </w:pPr>
            <w:r>
              <w:rPr/>
              <w:t>Chris Gaffney</w:t>
            </w:r>
          </w:p>
          <w:p>
            <w:pPr>
              <w:pStyle w:val="Normal"/>
              <w:rPr/>
            </w:pPr>
            <w:r>
              <w:rPr/>
              <w:t>Greg Johnston</w:t>
            </w:r>
          </w:p>
          <w:p>
            <w:pPr>
              <w:pStyle w:val="Normal"/>
              <w:rPr/>
            </w:pPr>
            <w:r>
              <w:rPr/>
              <w:t>Mark Powell</w:t>
            </w:r>
          </w:p>
          <w:p>
            <w:pPr>
              <w:pStyle w:val="Normal"/>
              <w:rPr/>
            </w:pPr>
            <w:r>
              <w:rPr/>
              <w:t>Sharon Crawford</w:t>
            </w:r>
          </w:p>
          <w:p>
            <w:pPr>
              <w:pStyle w:val="Normal"/>
              <w:rPr/>
            </w:pPr>
            <w:r>
              <w:rPr/>
              <w:t>Linda Sietzema</w:t>
            </w:r>
          </w:p>
          <w:p>
            <w:pPr>
              <w:pStyle w:val="Normal"/>
              <w:rPr/>
            </w:pPr>
            <w:r>
              <w:rPr/>
              <w:t>Tana Jones</w:t>
            </w:r>
          </w:p>
          <w:p>
            <w:pPr>
              <w:pStyle w:val="Normal"/>
              <w:rPr/>
            </w:pPr>
            <w:r>
              <w:rPr/>
              <w:t>Mark Taylor</w:t>
            </w:r>
          </w:p>
          <w:p>
            <w:pPr>
              <w:pStyle w:val="Normal"/>
              <w:rPr/>
            </w:pPr>
            <w:r>
              <w:rPr/>
              <w:t>Mark Haedicke</w:t>
            </w:r>
          </w:p>
          <w:p>
            <w:pPr>
              <w:pStyle w:val="Normal"/>
              <w:rPr/>
            </w:pPr>
            <w:r>
              <w:rPr/>
              <w:t>Rob Milnthorp</w:t>
            </w:r>
          </w:p>
          <w:p>
            <w:pPr>
              <w:pStyle w:val="Normal"/>
              <w:rPr/>
            </w:pPr>
            <w:r>
              <w:rPr/>
              <w:t>Derek Davies</w:t>
            </w:r>
          </w:p>
          <w:p>
            <w:pPr>
              <w:pStyle w:val="Normal"/>
              <w:rPr/>
            </w:pPr>
            <w:r>
              <w:rPr/>
              <w:t>John Zufferli</w:t>
            </w:r>
          </w:p>
          <w:p>
            <w:pPr>
              <w:pStyle w:val="Normal"/>
              <w:rPr/>
            </w:pPr>
            <w:r>
              <w:rPr/>
              <w:t>Eric Le Dain</w:t>
            </w:r>
          </w:p>
          <w:p>
            <w:pPr>
              <w:pStyle w:val="Normal"/>
              <w:rPr/>
            </w:pPr>
            <w:r>
              <w:rPr/>
              <w:t>Jon McKay</w:t>
            </w:r>
          </w:p>
          <w:p>
            <w:pPr>
              <w:pStyle w:val="Normal"/>
              <w:rPr/>
            </w:pPr>
            <w:r>
              <w:rPr/>
              <w:t>Paul DeVries</w:t>
            </w:r>
          </w:p>
        </w:tc>
      </w:tr>
      <w:tr>
        <w:trPr/>
        <w:tc>
          <w:tcPr>
            <w:tcW w:w="986" w:type="dxa"/>
            <w:tcBorders/>
          </w:tcPr>
          <w:p>
            <w:pPr>
              <w:pStyle w:val="Normal"/>
              <w:snapToGrid w:val="false"/>
              <w:ind w:start="-180" w:end="0"/>
              <w:jc w:val="end"/>
              <w:rPr/>
            </w:pPr>
            <w:r>
              <w:rPr/>
            </w:r>
          </w:p>
        </w:tc>
        <w:tc>
          <w:tcPr>
            <w:tcW w:w="5310" w:type="dxa"/>
            <w:gridSpan w:val="3"/>
            <w:tcBorders/>
          </w:tcPr>
          <w:p>
            <w:pPr>
              <w:pStyle w:val="Normal"/>
              <w:snapToGrid w:val="false"/>
              <w:rPr/>
            </w:pPr>
            <w:r>
              <w:rPr/>
            </w:r>
          </w:p>
        </w:tc>
        <w:tc>
          <w:tcPr>
            <w:tcW w:w="2340" w:type="dxa"/>
            <w:tcBorders/>
          </w:tcPr>
          <w:p>
            <w:pPr>
              <w:pStyle w:val="Normal"/>
              <w:snapToGrid w:val="false"/>
              <w:ind w:start="-180" w:end="0"/>
              <w:rPr/>
            </w:pPr>
            <w:r>
              <w:rPr/>
            </w:r>
          </w:p>
        </w:tc>
        <w:tc>
          <w:tcPr>
            <w:tcW w:w="2072" w:type="dxa"/>
            <w:tcBorders/>
          </w:tcPr>
          <w:p>
            <w:pPr>
              <w:pStyle w:val="Normal"/>
              <w:snapToGrid w:val="false"/>
              <w:rPr/>
            </w:pPr>
            <w:r>
              <w:rPr/>
            </w:r>
          </w:p>
        </w:tc>
      </w:tr>
      <w:tr>
        <w:trPr/>
        <w:tc>
          <w:tcPr>
            <w:tcW w:w="986" w:type="dxa"/>
            <w:tcBorders/>
          </w:tcPr>
          <w:p>
            <w:pPr>
              <w:pStyle w:val="Normal"/>
              <w:ind w:start="-180" w:end="0"/>
              <w:jc w:val="end"/>
              <w:rPr/>
            </w:pPr>
            <w:r>
              <w:rPr/>
              <w:t>From:</w:t>
            </w:r>
          </w:p>
        </w:tc>
        <w:tc>
          <w:tcPr>
            <w:tcW w:w="5310" w:type="dxa"/>
            <w:gridSpan w:val="3"/>
            <w:tcBorders/>
          </w:tcPr>
          <w:p>
            <w:pPr>
              <w:pStyle w:val="From"/>
              <w:rPr/>
            </w:pPr>
            <w:r>
              <w:rPr/>
              <w:t>Peter Keohane</w:t>
            </w:r>
          </w:p>
        </w:tc>
        <w:tc>
          <w:tcPr>
            <w:tcW w:w="2340" w:type="dxa"/>
            <w:tcBorders/>
          </w:tcPr>
          <w:p>
            <w:pPr>
              <w:pStyle w:val="Normal"/>
              <w:ind w:start="-180" w:end="0"/>
              <w:jc w:val="end"/>
              <w:rPr/>
            </w:pPr>
            <w:r>
              <w:rPr/>
              <w:t>Department:</w:t>
            </w:r>
          </w:p>
        </w:tc>
        <w:tc>
          <w:tcPr>
            <w:tcW w:w="2072" w:type="dxa"/>
            <w:tcBorders/>
          </w:tcPr>
          <w:p>
            <w:pPr>
              <w:pStyle w:val="Department"/>
              <w:rPr/>
            </w:pPr>
            <w:bookmarkStart w:id="0" w:name="From"/>
            <w:bookmarkEnd w:id="0"/>
            <w:r>
              <w:rPr/>
              <w:t>ECC Legal</w:t>
            </w:r>
          </w:p>
        </w:tc>
      </w:tr>
      <w:tr>
        <w:trPr/>
        <w:tc>
          <w:tcPr>
            <w:tcW w:w="986" w:type="dxa"/>
            <w:tcBorders/>
          </w:tcPr>
          <w:p>
            <w:pPr>
              <w:pStyle w:val="Normal"/>
              <w:snapToGrid w:val="false"/>
              <w:ind w:start="-180" w:end="0"/>
              <w:jc w:val="end"/>
              <w:rPr/>
            </w:pPr>
            <w:r>
              <w:rPr/>
            </w:r>
          </w:p>
        </w:tc>
        <w:tc>
          <w:tcPr>
            <w:tcW w:w="5310" w:type="dxa"/>
            <w:gridSpan w:val="3"/>
            <w:tcBorders/>
          </w:tcPr>
          <w:p>
            <w:pPr>
              <w:pStyle w:val="Normal"/>
              <w:snapToGrid w:val="false"/>
              <w:rPr/>
            </w:pPr>
            <w:r>
              <w:rPr/>
            </w:r>
          </w:p>
        </w:tc>
        <w:tc>
          <w:tcPr>
            <w:tcW w:w="2340" w:type="dxa"/>
            <w:tcBorders/>
          </w:tcPr>
          <w:p>
            <w:pPr>
              <w:pStyle w:val="Normal"/>
              <w:snapToGrid w:val="false"/>
              <w:ind w:start="-180" w:end="0"/>
              <w:rPr/>
            </w:pPr>
            <w:r>
              <w:rPr/>
            </w:r>
          </w:p>
        </w:tc>
        <w:tc>
          <w:tcPr>
            <w:tcW w:w="2072" w:type="dxa"/>
            <w:tcBorders/>
          </w:tcPr>
          <w:p>
            <w:pPr>
              <w:pStyle w:val="Normal"/>
              <w:snapToGrid w:val="false"/>
              <w:rPr/>
            </w:pPr>
            <w:r>
              <w:rPr/>
            </w:r>
          </w:p>
        </w:tc>
      </w:tr>
      <w:tr>
        <w:trPr/>
        <w:tc>
          <w:tcPr>
            <w:tcW w:w="986" w:type="dxa"/>
            <w:tcBorders>
              <w:bottom w:val="single" w:sz="12" w:space="0" w:color="000000"/>
            </w:tcBorders>
          </w:tcPr>
          <w:p>
            <w:pPr>
              <w:pStyle w:val="Normal"/>
              <w:ind w:start="-180" w:end="0"/>
              <w:jc w:val="end"/>
              <w:rPr/>
            </w:pPr>
            <w:r>
              <w:rPr/>
              <w:t>Subject:</w:t>
            </w:r>
          </w:p>
        </w:tc>
        <w:tc>
          <w:tcPr>
            <w:tcW w:w="5310" w:type="dxa"/>
            <w:gridSpan w:val="3"/>
            <w:tcBorders>
              <w:bottom w:val="single" w:sz="12" w:space="0" w:color="000000"/>
            </w:tcBorders>
          </w:tcPr>
          <w:p>
            <w:pPr>
              <w:pStyle w:val="Subject"/>
              <w:rPr/>
            </w:pPr>
            <w:r>
              <w:rPr/>
              <w:t>Procedures for Financial Confirmations</w:t>
            </w:r>
          </w:p>
        </w:tc>
        <w:tc>
          <w:tcPr>
            <w:tcW w:w="2340" w:type="dxa"/>
            <w:tcBorders>
              <w:bottom w:val="single" w:sz="12" w:space="0" w:color="000000"/>
            </w:tcBorders>
          </w:tcPr>
          <w:p>
            <w:pPr>
              <w:pStyle w:val="Normal"/>
              <w:ind w:start="-180" w:end="0"/>
              <w:jc w:val="end"/>
              <w:rPr/>
            </w:pPr>
            <w:r>
              <w:rPr/>
              <w:t>Date:</w:t>
            </w:r>
          </w:p>
        </w:tc>
        <w:tc>
          <w:tcPr>
            <w:tcW w:w="2072" w:type="dxa"/>
            <w:tcBorders>
              <w:bottom w:val="single" w:sz="12" w:space="0" w:color="000000"/>
            </w:tcBorders>
          </w:tcPr>
          <w:p>
            <w:pPr>
              <w:pStyle w:val="Date"/>
              <w:rPr/>
            </w:pPr>
            <w:r>
              <w:rPr/>
              <w:t>March 20, 2001</w:t>
            </w:r>
          </w:p>
        </w:tc>
      </w:tr>
    </w:tbl>
    <w:p>
      <w:pPr>
        <w:pStyle w:val="Body"/>
        <w:rPr>
          <w:sz w:val="19"/>
        </w:rPr>
      </w:pPr>
      <w:r>
        <w:rPr>
          <w:sz w:val="19"/>
        </w:rPr>
      </w:r>
      <w:bookmarkStart w:id="1" w:name="StartOfMemo"/>
      <w:bookmarkStart w:id="2" w:name="StartOfMemo"/>
      <w:bookmarkEnd w:id="2"/>
    </w:p>
    <w:p>
      <w:pPr>
        <w:pStyle w:val="Body"/>
        <w:rPr>
          <w:sz w:val="19"/>
        </w:rPr>
      </w:pPr>
      <w:r>
        <w:rPr>
          <w:sz w:val="19"/>
        </w:rPr>
        <w:t>Further to Tana Jones' visit last week, we will be implementing the following procedure for sending out financial confirms:</w:t>
      </w:r>
    </w:p>
    <w:p>
      <w:pPr>
        <w:pStyle w:val="Body"/>
        <w:rPr>
          <w:sz w:val="19"/>
        </w:rPr>
      </w:pPr>
      <w:r>
        <w:rPr>
          <w:sz w:val="19"/>
        </w:rPr>
      </w:r>
    </w:p>
    <w:p>
      <w:pPr>
        <w:pStyle w:val="Sharon1"/>
        <w:numPr>
          <w:ilvl w:val="0"/>
          <w:numId w:val="2"/>
        </w:numPr>
        <w:ind w:hanging="0" w:start="0"/>
        <w:rPr>
          <w:sz w:val="19"/>
        </w:rPr>
      </w:pPr>
      <w:r>
        <w:rPr>
          <w:sz w:val="19"/>
        </w:rPr>
        <w:t>Confirmations under an ISDA will be prepared and sent out by the Operations Department, unless there is a problem or concern over terms or language, in which case they are to be prepared by Operations and forwarded to a lawyer for review (this process is already being undertaken by Cindy Feldman).</w:t>
      </w:r>
    </w:p>
    <w:p>
      <w:pPr>
        <w:pStyle w:val="Sharon1"/>
        <w:numPr>
          <w:ilvl w:val="0"/>
          <w:numId w:val="2"/>
        </w:numPr>
        <w:ind w:hanging="0" w:start="0"/>
        <w:rPr>
          <w:sz w:val="19"/>
        </w:rPr>
      </w:pPr>
      <w:r>
        <w:rPr>
          <w:sz w:val="19"/>
        </w:rPr>
        <w:t>Subject to paragraph 3, confirmations for an Omnibus will be prepared and sent out by the Operations Department, unless there is a problem or concern over terms or language, in which case they are to be prepared by Operations and forwarded to a lawyer for review.</w:t>
      </w:r>
    </w:p>
    <w:p>
      <w:pPr>
        <w:pStyle w:val="Sharon1"/>
        <w:numPr>
          <w:ilvl w:val="0"/>
          <w:numId w:val="2"/>
        </w:numPr>
        <w:ind w:hanging="0" w:start="0"/>
        <w:rPr>
          <w:sz w:val="19"/>
        </w:rPr>
      </w:pPr>
      <w:r>
        <w:rPr>
          <w:sz w:val="19"/>
        </w:rPr>
        <w:t>Transactions (pre-ISDA) having credit terms:</w:t>
      </w:r>
    </w:p>
    <w:p>
      <w:pPr>
        <w:pStyle w:val="Sharon2"/>
        <w:numPr>
          <w:ilvl w:val="0"/>
          <w:numId w:val="1"/>
        </w:numPr>
        <w:ind w:hanging="0" w:start="0"/>
        <w:rPr>
          <w:sz w:val="19"/>
        </w:rPr>
      </w:pPr>
      <w:r>
        <w:rPr>
          <w:sz w:val="19"/>
        </w:rPr>
        <w:t>credit worksheets are to be forwarded to Legal (Linda: A-M; Sharon: N-Z);</w:t>
      </w:r>
    </w:p>
    <w:p>
      <w:pPr>
        <w:pStyle w:val="Sharon2"/>
        <w:numPr>
          <w:ilvl w:val="0"/>
          <w:numId w:val="1"/>
        </w:numPr>
        <w:ind w:hanging="0" w:start="0"/>
        <w:rPr>
          <w:sz w:val="19"/>
        </w:rPr>
      </w:pPr>
      <w:r>
        <w:rPr>
          <w:sz w:val="19"/>
        </w:rPr>
        <w:t>Operations will prepare the confirmation letter;</w:t>
      </w:r>
    </w:p>
    <w:p>
      <w:pPr>
        <w:pStyle w:val="Sharon2"/>
        <w:numPr>
          <w:ilvl w:val="0"/>
          <w:numId w:val="1"/>
        </w:numPr>
        <w:ind w:hanging="0" w:start="0"/>
        <w:rPr>
          <w:sz w:val="19"/>
        </w:rPr>
      </w:pPr>
      <w:r>
        <w:rPr>
          <w:sz w:val="19"/>
        </w:rPr>
        <w:t>Linda/Sharon will prepare the appropriate Annex B, Annex B-1 and Exhibit(s), as applicable;</w:t>
      </w:r>
    </w:p>
    <w:p>
      <w:pPr>
        <w:pStyle w:val="Sharon2"/>
        <w:numPr>
          <w:ilvl w:val="0"/>
          <w:numId w:val="1"/>
        </w:numPr>
        <w:ind w:hanging="0" w:start="0"/>
        <w:rPr>
          <w:sz w:val="19"/>
        </w:rPr>
      </w:pPr>
      <w:r>
        <w:rPr>
          <w:sz w:val="19"/>
        </w:rPr>
        <w:t>once lawyer has approved same (by initialing the credit worksheet), Linda/Sharon will e-mail the applicable Annex B, Annex B-1 and Exhibit(s) to Dianne Seib/Cindy Feldman to attach to the confirmation letter to be sent out to counterparty (and the complete and final financial confirmation letter, including Annexes and Exhibits, will be filed by Operations with the other financial confirms); and</w:t>
      </w:r>
    </w:p>
    <w:p>
      <w:pPr>
        <w:pStyle w:val="Sharon2"/>
        <w:numPr>
          <w:ilvl w:val="0"/>
          <w:numId w:val="1"/>
        </w:numPr>
        <w:ind w:hanging="0" w:start="0"/>
        <w:rPr>
          <w:sz w:val="19"/>
        </w:rPr>
      </w:pPr>
      <w:r>
        <w:rPr>
          <w:sz w:val="19"/>
        </w:rPr>
        <w:t>if there are guarantees (which are the Exhibit(s)), Linda/Sharon will finalize and courier them to counterparty/Enron Corp. in duplicate, as applicable, with a cover letter to the counterparty (in the case of the counterparty guarantee) advising that the confirmation letter will follow shortly by fax from our Confirmation Desk.  In the case of the counterparty guarantee, Linda/Sharon will request that they sign and return the guarantee within the time provided for in the confirmation letter to Linda/Sharon (Linda/Sharon to follow up and update Guarantee Database accordingly).  The original guarantee (when received) will be sent to Credit in Houston, and a copy will be kept by Legal, with a copy sent to Dianne Seib to be filed with the applicable confirmation letter.</w:t>
      </w:r>
    </w:p>
    <w:p>
      <w:pPr>
        <w:pStyle w:val="Normal"/>
        <w:rPr>
          <w:sz w:val="19"/>
        </w:rPr>
      </w:pPr>
      <w:r>
        <w:rPr>
          <w:sz w:val="19"/>
        </w:rPr>
      </w:r>
    </w:p>
    <w:p>
      <w:pPr>
        <w:pStyle w:val="Normal"/>
        <w:rPr>
          <w:sz w:val="19"/>
        </w:rPr>
      </w:pPr>
      <w:r>
        <w:rPr>
          <w:sz w:val="19"/>
        </w:rPr>
        <w:t>If you have any questions or concerns regarding the above procedure, please come speak to me.</w:t>
      </w:r>
    </w:p>
    <w:p>
      <w:pPr>
        <w:pStyle w:val="Normal"/>
        <w:rPr>
          <w:sz w:val="19"/>
        </w:rPr>
      </w:pPr>
      <w:r>
        <w:rPr>
          <w:sz w:val="19"/>
        </w:rPr>
      </w:r>
    </w:p>
    <w:p>
      <w:pPr>
        <w:pStyle w:val="Normal"/>
        <w:rPr>
          <w:sz w:val="19"/>
        </w:rPr>
      </w:pPr>
      <w:r>
        <w:rPr>
          <w:sz w:val="19"/>
        </w:rPr>
        <w:t>Regards,</w:t>
      </w:r>
    </w:p>
    <w:p>
      <w:pPr>
        <w:pStyle w:val="Normal"/>
        <w:rPr>
          <w:sz w:val="19"/>
        </w:rPr>
      </w:pPr>
      <w:r>
        <w:rPr>
          <w:sz w:val="19"/>
        </w:rPr>
        <w:t>Peter</w:t>
      </w:r>
    </w:p>
    <w:sectPr>
      <w:headerReference w:type="default" r:id="rId3"/>
      <w:headerReference w:type="first" r:id="rId4"/>
      <w:footerReference w:type="default" r:id="rId5"/>
      <w:footerReference w:type="first" r:id="rId6"/>
      <w:type w:val="nextPage"/>
      <w:pgSz w:w="12240" w:h="15840"/>
      <w:pgMar w:left="720" w:right="720" w:gutter="0" w:header="720" w:top="776" w:footer="36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rPr>
    </w:pPr>
    <w:r>
      <w:rPr>
        <w:b/>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rFonts w:ascii="Arial Narrow" w:hAnsi="Arial Narrow" w:cs="Arial Narrow"/>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/mnt/main-storage/datasets/enron-docs/doc/Memo.FinancialConfirmationProcedures.doc</w:t>
    </w:r>
    <w:r>
      <w:rPr>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rPr>
    </w:pPr>
    <w:r>
      <w:rPr>
        <w:b/>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/mnt/main-storage/datasets/enron-docs/doc/Memo.FinancialConfirmationProcedures.doc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r>
  </w:p>
  <w:p>
    <w:pPr>
      <w:pStyle w:val="Header"/>
      <w:pBdr>
        <w:top w:val="single" w:sz="4" w:space="1" w:color="000000"/>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sz w:val="20"/>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rPr>
        <w:sz w:val="20"/>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000080"/>
      <w:sz w:val="20"/>
      <w:szCs w:val="20"/>
      <w:lang w:val="en-US" w:eastAsia="zh-CN" w:bidi="hi-IN"/>
    </w:rPr>
  </w:style>
  <w:style w:type="character" w:styleId="WW8Num1z0">
    <w:name w:val="WW8Num1z0"/>
    <w:qFormat/>
    <w:rPr>
      <w:rFonts w:ascii="Arial" w:hAnsi="Arial" w:cs="Arial"/>
      <w:sz w:val="20"/>
    </w:rPr>
  </w:style>
  <w:style w:type="character" w:styleId="WW8Num2z0">
    <w:name w:val="WW8Num2z0"/>
    <w:qFormat/>
    <w:rPr>
      <w:rFonts w:ascii="Arial" w:hAnsi="Arial" w:cs="Arial"/>
      <w:sz w:val="20"/>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z w:val="20"/>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rPr>
      <w:sz w:val="20"/>
    </w:rPr>
  </w:style>
  <w:style w:type="paragraph" w:styleId="Department">
    <w:name w:val="Department"/>
    <w:basedOn w:val="Normal"/>
    <w:qFormat/>
    <w:pPr/>
    <w:rPr>
      <w:rFonts w:ascii="Arial" w:hAnsi="Arial" w:cs="Arial"/>
    </w:rPr>
  </w:style>
  <w:style w:type="paragraph" w:styleId="Sharon1">
    <w:name w:val="Sharon1"/>
    <w:basedOn w:val="Normal"/>
    <w:qFormat/>
    <w:pPr>
      <w:numPr>
        <w:ilvl w:val="0"/>
        <w:numId w:val="2"/>
      </w:numPr>
      <w:spacing w:before="0" w:after="240"/>
    </w:pPr>
    <w:rPr>
      <w:sz w:val="20"/>
    </w:rPr>
  </w:style>
  <w:style w:type="paragraph" w:styleId="Sharon2">
    <w:name w:val="Sharon2"/>
    <w:basedOn w:val="Normal"/>
    <w:qFormat/>
    <w:pPr>
      <w:numPr>
        <w:ilvl w:val="0"/>
        <w:numId w:val="1"/>
      </w:numPr>
      <w:spacing w:before="0" w:after="120"/>
    </w:pPr>
    <w:rPr>
      <w:sz w:val="20"/>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MemoLegal.dot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2001-03-19T20:49:00Z</dcterms:created>
  <dc:creator>scrawfo3</dc:creator>
  <dc:description/>
  <dc:language>en-CA</dc:language>
  <cp:lastModifiedBy>scrawfo3</cp:lastModifiedBy>
  <cp:lastPrinted>2001-03-20T14:41:00Z</cp:lastPrinted>
  <dcterms:modified xsi:type="dcterms:W3CDTF">2001-03-20T19:11:00Z</dcterms:modified>
  <cp:revision>9</cp:revision>
  <dc:subject/>
  <dc:title> </dc:title>
</cp:coreProperties>
</file>