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1166"/>
        <w:gridCol w:w="5587"/>
        <w:gridCol w:w="1433"/>
        <w:gridCol w:w="2522"/>
      </w:tblGrid>
      <w:tr>
        <w:trPr/>
        <w:tc>
          <w:tcPr>
            <w:tcW w:w="1166" w:type="dxa"/>
            <w:tcBorders/>
          </w:tcPr>
          <w:p>
            <w:pPr>
              <w:pStyle w:val="Normal"/>
              <w:ind w:start="-180" w:end="0"/>
              <w:jc w:val="end"/>
              <w:rPr>
                <w:sz w:val="16"/>
              </w:rPr>
            </w:pPr>
            <w:r>
              <w:rPr>
                <w:sz w:val="16"/>
              </w:rPr>
              <w:t>To:</w:t>
            </w:r>
          </w:p>
        </w:tc>
        <w:tc>
          <w:tcPr>
            <w:tcW w:w="5587" w:type="dxa"/>
            <w:tcBorders/>
          </w:tcPr>
          <w:p>
            <w:pPr>
              <w:pStyle w:val="To"/>
              <w:rPr>
                <w:sz w:val="18"/>
              </w:rPr>
            </w:pPr>
            <w:r>
              <w:rPr>
                <w:sz w:val="18"/>
              </w:rPr>
              <w:t>Mark Haedicke</w:t>
            </w:r>
          </w:p>
        </w:tc>
        <w:tc>
          <w:tcPr>
            <w:tcW w:w="1433" w:type="dxa"/>
            <w:tcBorders/>
          </w:tcPr>
          <w:p>
            <w:pPr>
              <w:pStyle w:val="Normal"/>
              <w:snapToGrid w:val="false"/>
              <w:ind w:start="-180" w:end="0"/>
              <w:rPr>
                <w:sz w:val="18"/>
              </w:rPr>
            </w:pPr>
            <w:r>
              <w:rPr>
                <w:sz w:val="18"/>
              </w:rPr>
            </w:r>
          </w:p>
        </w:tc>
        <w:tc>
          <w:tcPr>
            <w:tcW w:w="2522" w:type="dxa"/>
            <w:tcBorders/>
          </w:tcPr>
          <w:p>
            <w:pPr>
              <w:pStyle w:val="Normal"/>
              <w:snapToGrid w:val="false"/>
              <w:rPr/>
            </w:pPr>
            <w:r>
              <w:rPr/>
            </w:r>
          </w:p>
        </w:tc>
      </w:tr>
      <w:tr>
        <w:trPr/>
        <w:tc>
          <w:tcPr>
            <w:tcW w:w="1166" w:type="dxa"/>
            <w:tcBorders/>
          </w:tcPr>
          <w:p>
            <w:pPr>
              <w:pStyle w:val="Normal"/>
              <w:snapToGrid w:val="false"/>
              <w:ind w:start="-180" w:end="0"/>
              <w:jc w:val="end"/>
              <w:rPr>
                <w:sz w:val="18"/>
              </w:rPr>
            </w:pPr>
            <w:r>
              <w:rPr>
                <w:sz w:val="18"/>
              </w:rPr>
            </w:r>
          </w:p>
        </w:tc>
        <w:tc>
          <w:tcPr>
            <w:tcW w:w="5587" w:type="dxa"/>
            <w:tcBorders/>
          </w:tcPr>
          <w:p>
            <w:pPr>
              <w:pStyle w:val="Normal"/>
              <w:rPr>
                <w:sz w:val="18"/>
              </w:rPr>
            </w:pPr>
            <w:r>
              <w:rPr>
                <w:sz w:val="18"/>
              </w:rPr>
              <w:t>Jeff Hodge</w:t>
            </w:r>
          </w:p>
        </w:tc>
        <w:tc>
          <w:tcPr>
            <w:tcW w:w="1433" w:type="dxa"/>
            <w:tcBorders/>
          </w:tcPr>
          <w:p>
            <w:pPr>
              <w:pStyle w:val="Normal"/>
              <w:snapToGrid w:val="false"/>
              <w:ind w:start="-180" w:end="0"/>
              <w:rPr>
                <w:sz w:val="18"/>
              </w:rPr>
            </w:pPr>
            <w:r>
              <w:rPr>
                <w:sz w:val="18"/>
              </w:rPr>
            </w:r>
          </w:p>
        </w:tc>
        <w:tc>
          <w:tcPr>
            <w:tcW w:w="2522" w:type="dxa"/>
            <w:tcBorders/>
          </w:tcPr>
          <w:p>
            <w:pPr>
              <w:pStyle w:val="Normal"/>
              <w:snapToGrid w:val="false"/>
              <w:rPr>
                <w:sz w:val="18"/>
              </w:rPr>
            </w:pPr>
            <w:r>
              <w:rPr>
                <w:sz w:val="18"/>
              </w:rPr>
            </w:r>
          </w:p>
        </w:tc>
      </w:tr>
      <w:tr>
        <w:trPr/>
        <w:tc>
          <w:tcPr>
            <w:tcW w:w="1166" w:type="dxa"/>
            <w:tcBorders/>
          </w:tcPr>
          <w:p>
            <w:pPr>
              <w:pStyle w:val="Normal"/>
              <w:snapToGrid w:val="false"/>
              <w:ind w:start="-180" w:end="0"/>
              <w:jc w:val="end"/>
              <w:rPr>
                <w:sz w:val="18"/>
              </w:rPr>
            </w:pPr>
            <w:r>
              <w:rPr>
                <w:sz w:val="18"/>
              </w:rPr>
            </w:r>
          </w:p>
        </w:tc>
        <w:tc>
          <w:tcPr>
            <w:tcW w:w="5587" w:type="dxa"/>
            <w:tcBorders/>
          </w:tcPr>
          <w:p>
            <w:pPr>
              <w:pStyle w:val="Normal"/>
              <w:snapToGrid w:val="false"/>
              <w:rPr>
                <w:sz w:val="18"/>
              </w:rPr>
            </w:pPr>
            <w:r>
              <w:rPr>
                <w:sz w:val="18"/>
              </w:rPr>
            </w:r>
          </w:p>
        </w:tc>
        <w:tc>
          <w:tcPr>
            <w:tcW w:w="1433" w:type="dxa"/>
            <w:tcBorders/>
          </w:tcPr>
          <w:p>
            <w:pPr>
              <w:pStyle w:val="Normal"/>
              <w:snapToGrid w:val="false"/>
              <w:ind w:start="-180" w:end="0"/>
              <w:rPr>
                <w:sz w:val="18"/>
              </w:rPr>
            </w:pPr>
            <w:r>
              <w:rPr>
                <w:sz w:val="18"/>
              </w:rPr>
            </w:r>
          </w:p>
        </w:tc>
        <w:tc>
          <w:tcPr>
            <w:tcW w:w="2522" w:type="dxa"/>
            <w:tcBorders/>
          </w:tcPr>
          <w:p>
            <w:pPr>
              <w:pStyle w:val="Normal"/>
              <w:snapToGrid w:val="false"/>
              <w:rPr>
                <w:sz w:val="18"/>
              </w:rPr>
            </w:pPr>
            <w:r>
              <w:rPr>
                <w:sz w:val="18"/>
              </w:rPr>
            </w:r>
          </w:p>
        </w:tc>
      </w:tr>
      <w:tr>
        <w:trPr/>
        <w:tc>
          <w:tcPr>
            <w:tcW w:w="1166" w:type="dxa"/>
            <w:tcBorders/>
          </w:tcPr>
          <w:p>
            <w:pPr>
              <w:pStyle w:val="Normal"/>
              <w:ind w:start="-180" w:end="0"/>
              <w:jc w:val="end"/>
              <w:rPr>
                <w:sz w:val="16"/>
              </w:rPr>
            </w:pPr>
            <w:r>
              <w:rPr>
                <w:sz w:val="16"/>
              </w:rPr>
              <w:t>c: (w/o encl.)</w:t>
            </w:r>
          </w:p>
        </w:tc>
        <w:tc>
          <w:tcPr>
            <w:tcW w:w="5587" w:type="dxa"/>
            <w:tcBorders/>
          </w:tcPr>
          <w:p>
            <w:pPr>
              <w:pStyle w:val="Normal"/>
              <w:rPr>
                <w:sz w:val="18"/>
              </w:rPr>
            </w:pPr>
            <w:r>
              <w:rPr>
                <w:sz w:val="18"/>
              </w:rPr>
              <w:t>John Lavorato</w:t>
            </w:r>
          </w:p>
        </w:tc>
        <w:tc>
          <w:tcPr>
            <w:tcW w:w="1433" w:type="dxa"/>
            <w:tcBorders/>
          </w:tcPr>
          <w:p>
            <w:pPr>
              <w:pStyle w:val="Normal"/>
              <w:snapToGrid w:val="false"/>
              <w:ind w:start="-180" w:end="0"/>
              <w:rPr>
                <w:sz w:val="18"/>
              </w:rPr>
            </w:pPr>
            <w:r>
              <w:rPr>
                <w:sz w:val="18"/>
              </w:rPr>
            </w:r>
          </w:p>
        </w:tc>
        <w:tc>
          <w:tcPr>
            <w:tcW w:w="2522" w:type="dxa"/>
            <w:tcBorders/>
          </w:tcPr>
          <w:p>
            <w:pPr>
              <w:pStyle w:val="Normal"/>
              <w:snapToGrid w:val="false"/>
              <w:rPr>
                <w:sz w:val="18"/>
              </w:rPr>
            </w:pPr>
            <w:r>
              <w:rPr>
                <w:sz w:val="18"/>
              </w:rPr>
            </w:r>
          </w:p>
        </w:tc>
      </w:tr>
      <w:tr>
        <w:trPr/>
        <w:tc>
          <w:tcPr>
            <w:tcW w:w="1166" w:type="dxa"/>
            <w:tcBorders/>
          </w:tcPr>
          <w:p>
            <w:pPr>
              <w:pStyle w:val="Normal"/>
              <w:snapToGrid w:val="false"/>
              <w:ind w:start="-180" w:end="0"/>
              <w:jc w:val="end"/>
              <w:rPr>
                <w:sz w:val="18"/>
              </w:rPr>
            </w:pPr>
            <w:r>
              <w:rPr>
                <w:sz w:val="18"/>
              </w:rPr>
            </w:r>
          </w:p>
        </w:tc>
        <w:tc>
          <w:tcPr>
            <w:tcW w:w="5587" w:type="dxa"/>
            <w:tcBorders/>
          </w:tcPr>
          <w:p>
            <w:pPr>
              <w:pStyle w:val="Normal"/>
              <w:rPr>
                <w:sz w:val="18"/>
              </w:rPr>
            </w:pPr>
            <w:r>
              <w:rPr>
                <w:sz w:val="18"/>
              </w:rPr>
              <w:t>Rob Milnthorp</w:t>
            </w:r>
          </w:p>
        </w:tc>
        <w:tc>
          <w:tcPr>
            <w:tcW w:w="1433" w:type="dxa"/>
            <w:tcBorders/>
          </w:tcPr>
          <w:p>
            <w:pPr>
              <w:pStyle w:val="Normal"/>
              <w:snapToGrid w:val="false"/>
              <w:ind w:start="-180" w:end="0"/>
              <w:rPr>
                <w:sz w:val="18"/>
              </w:rPr>
            </w:pPr>
            <w:r>
              <w:rPr>
                <w:sz w:val="18"/>
              </w:rPr>
            </w:r>
          </w:p>
        </w:tc>
        <w:tc>
          <w:tcPr>
            <w:tcW w:w="2522" w:type="dxa"/>
            <w:tcBorders/>
          </w:tcPr>
          <w:p>
            <w:pPr>
              <w:pStyle w:val="Normal"/>
              <w:snapToGrid w:val="false"/>
              <w:rPr>
                <w:sz w:val="18"/>
              </w:rPr>
            </w:pPr>
            <w:r>
              <w:rPr>
                <w:sz w:val="18"/>
              </w:rPr>
            </w:r>
          </w:p>
        </w:tc>
      </w:tr>
      <w:tr>
        <w:trPr/>
        <w:tc>
          <w:tcPr>
            <w:tcW w:w="1166" w:type="dxa"/>
            <w:tcBorders/>
          </w:tcPr>
          <w:p>
            <w:pPr>
              <w:pStyle w:val="Normal"/>
              <w:snapToGrid w:val="false"/>
              <w:ind w:start="-180" w:end="0"/>
              <w:jc w:val="end"/>
              <w:rPr>
                <w:sz w:val="18"/>
              </w:rPr>
            </w:pPr>
            <w:r>
              <w:rPr>
                <w:sz w:val="18"/>
              </w:rPr>
            </w:r>
          </w:p>
        </w:tc>
        <w:tc>
          <w:tcPr>
            <w:tcW w:w="5587" w:type="dxa"/>
            <w:tcBorders/>
          </w:tcPr>
          <w:p>
            <w:pPr>
              <w:pStyle w:val="Normal"/>
              <w:rPr>
                <w:sz w:val="18"/>
              </w:rPr>
            </w:pPr>
            <w:r>
              <w:rPr>
                <w:sz w:val="18"/>
              </w:rPr>
              <w:t>Bill Bradford</w:t>
            </w:r>
          </w:p>
        </w:tc>
        <w:tc>
          <w:tcPr>
            <w:tcW w:w="1433" w:type="dxa"/>
            <w:tcBorders/>
          </w:tcPr>
          <w:p>
            <w:pPr>
              <w:pStyle w:val="Normal"/>
              <w:snapToGrid w:val="false"/>
              <w:ind w:start="-180" w:end="0"/>
              <w:rPr>
                <w:sz w:val="18"/>
              </w:rPr>
            </w:pPr>
            <w:r>
              <w:rPr>
                <w:sz w:val="18"/>
              </w:rPr>
            </w:r>
          </w:p>
        </w:tc>
        <w:tc>
          <w:tcPr>
            <w:tcW w:w="2522" w:type="dxa"/>
            <w:tcBorders/>
          </w:tcPr>
          <w:p>
            <w:pPr>
              <w:pStyle w:val="Normal"/>
              <w:snapToGrid w:val="false"/>
              <w:rPr>
                <w:sz w:val="18"/>
              </w:rPr>
            </w:pPr>
            <w:r>
              <w:rPr>
                <w:sz w:val="18"/>
              </w:rPr>
            </w:r>
          </w:p>
        </w:tc>
      </w:tr>
      <w:tr>
        <w:trPr/>
        <w:tc>
          <w:tcPr>
            <w:tcW w:w="1166" w:type="dxa"/>
            <w:tcBorders/>
          </w:tcPr>
          <w:p>
            <w:pPr>
              <w:pStyle w:val="Normal"/>
              <w:snapToGrid w:val="false"/>
              <w:ind w:start="-180" w:end="0"/>
              <w:jc w:val="end"/>
              <w:rPr>
                <w:sz w:val="18"/>
              </w:rPr>
            </w:pPr>
            <w:r>
              <w:rPr>
                <w:sz w:val="18"/>
              </w:rPr>
            </w:r>
          </w:p>
        </w:tc>
        <w:tc>
          <w:tcPr>
            <w:tcW w:w="5587" w:type="dxa"/>
            <w:tcBorders/>
          </w:tcPr>
          <w:p>
            <w:pPr>
              <w:pStyle w:val="Normal"/>
              <w:rPr>
                <w:sz w:val="18"/>
              </w:rPr>
            </w:pPr>
            <w:r>
              <w:rPr>
                <w:sz w:val="18"/>
              </w:rPr>
              <w:t>Greg Johnston</w:t>
            </w:r>
          </w:p>
        </w:tc>
        <w:tc>
          <w:tcPr>
            <w:tcW w:w="1433" w:type="dxa"/>
            <w:tcBorders/>
          </w:tcPr>
          <w:p>
            <w:pPr>
              <w:pStyle w:val="Normal"/>
              <w:snapToGrid w:val="false"/>
              <w:ind w:start="-180" w:end="0"/>
              <w:rPr>
                <w:sz w:val="18"/>
              </w:rPr>
            </w:pPr>
            <w:r>
              <w:rPr>
                <w:sz w:val="18"/>
              </w:rPr>
            </w:r>
          </w:p>
        </w:tc>
        <w:tc>
          <w:tcPr>
            <w:tcW w:w="2522" w:type="dxa"/>
            <w:tcBorders/>
          </w:tcPr>
          <w:p>
            <w:pPr>
              <w:pStyle w:val="Normal"/>
              <w:snapToGrid w:val="false"/>
              <w:rPr>
                <w:sz w:val="18"/>
              </w:rPr>
            </w:pPr>
            <w:r>
              <w:rPr>
                <w:sz w:val="18"/>
              </w:rPr>
            </w:r>
          </w:p>
        </w:tc>
      </w:tr>
      <w:tr>
        <w:trPr/>
        <w:tc>
          <w:tcPr>
            <w:tcW w:w="1166" w:type="dxa"/>
            <w:tcBorders/>
          </w:tcPr>
          <w:p>
            <w:pPr>
              <w:pStyle w:val="Normal"/>
              <w:snapToGrid w:val="false"/>
              <w:ind w:start="-180" w:end="0"/>
              <w:jc w:val="end"/>
              <w:rPr>
                <w:sz w:val="16"/>
              </w:rPr>
            </w:pPr>
            <w:r>
              <w:rPr>
                <w:sz w:val="16"/>
              </w:rPr>
            </w:r>
          </w:p>
        </w:tc>
        <w:tc>
          <w:tcPr>
            <w:tcW w:w="5587" w:type="dxa"/>
            <w:tcBorders/>
          </w:tcPr>
          <w:p>
            <w:pPr>
              <w:pStyle w:val="From"/>
              <w:rPr>
                <w:sz w:val="18"/>
              </w:rPr>
            </w:pPr>
            <w:r>
              <w:rPr>
                <w:sz w:val="18"/>
              </w:rPr>
              <w:t>Mark Powell</w:t>
            </w:r>
          </w:p>
        </w:tc>
        <w:tc>
          <w:tcPr>
            <w:tcW w:w="1433" w:type="dxa"/>
            <w:tcBorders/>
          </w:tcPr>
          <w:p>
            <w:pPr>
              <w:pStyle w:val="Normal"/>
              <w:snapToGrid w:val="false"/>
              <w:ind w:start="-180" w:end="0"/>
              <w:jc w:val="end"/>
              <w:rPr>
                <w:sz w:val="16"/>
              </w:rPr>
            </w:pPr>
            <w:r>
              <w:rPr>
                <w:sz w:val="16"/>
              </w:rPr>
            </w:r>
          </w:p>
        </w:tc>
        <w:tc>
          <w:tcPr>
            <w:tcW w:w="2522" w:type="dxa"/>
            <w:tcBorders/>
          </w:tcPr>
          <w:p>
            <w:pPr>
              <w:pStyle w:val="Department"/>
              <w:snapToGrid w:val="false"/>
              <w:rPr>
                <w:sz w:val="16"/>
              </w:rPr>
            </w:pPr>
            <w:r>
              <w:rPr>
                <w:sz w:val="16"/>
              </w:rPr>
            </w:r>
          </w:p>
        </w:tc>
      </w:tr>
      <w:tr>
        <w:trPr/>
        <w:tc>
          <w:tcPr>
            <w:tcW w:w="1166" w:type="dxa"/>
            <w:tcBorders/>
          </w:tcPr>
          <w:p>
            <w:pPr>
              <w:pStyle w:val="Normal"/>
              <w:snapToGrid w:val="false"/>
              <w:ind w:start="-180" w:end="0"/>
              <w:jc w:val="end"/>
              <w:rPr>
                <w:sz w:val="16"/>
              </w:rPr>
            </w:pPr>
            <w:r>
              <w:rPr>
                <w:sz w:val="16"/>
              </w:rPr>
            </w:r>
          </w:p>
        </w:tc>
        <w:tc>
          <w:tcPr>
            <w:tcW w:w="5587" w:type="dxa"/>
            <w:tcBorders/>
          </w:tcPr>
          <w:p>
            <w:pPr>
              <w:pStyle w:val="From"/>
              <w:rPr>
                <w:sz w:val="18"/>
              </w:rPr>
            </w:pPr>
            <w:r>
              <w:rPr>
                <w:sz w:val="18"/>
              </w:rPr>
              <w:t>Chris Gaffney</w:t>
            </w:r>
          </w:p>
        </w:tc>
        <w:tc>
          <w:tcPr>
            <w:tcW w:w="1433" w:type="dxa"/>
            <w:tcBorders/>
          </w:tcPr>
          <w:p>
            <w:pPr>
              <w:pStyle w:val="Normal"/>
              <w:snapToGrid w:val="false"/>
              <w:ind w:start="-180" w:end="0"/>
              <w:jc w:val="end"/>
              <w:rPr>
                <w:sz w:val="16"/>
              </w:rPr>
            </w:pPr>
            <w:r>
              <w:rPr>
                <w:sz w:val="16"/>
              </w:rPr>
            </w:r>
          </w:p>
        </w:tc>
        <w:tc>
          <w:tcPr>
            <w:tcW w:w="2522" w:type="dxa"/>
            <w:tcBorders/>
          </w:tcPr>
          <w:p>
            <w:pPr>
              <w:pStyle w:val="Department"/>
              <w:snapToGrid w:val="false"/>
              <w:rPr>
                <w:sz w:val="16"/>
              </w:rPr>
            </w:pPr>
            <w:r>
              <w:rPr>
                <w:sz w:val="16"/>
              </w:rPr>
            </w:r>
          </w:p>
        </w:tc>
      </w:tr>
      <w:tr>
        <w:trPr/>
        <w:tc>
          <w:tcPr>
            <w:tcW w:w="1166" w:type="dxa"/>
            <w:tcBorders/>
          </w:tcPr>
          <w:p>
            <w:pPr>
              <w:pStyle w:val="Normal"/>
              <w:snapToGrid w:val="false"/>
              <w:ind w:start="-180" w:end="0"/>
              <w:jc w:val="end"/>
              <w:rPr>
                <w:sz w:val="16"/>
              </w:rPr>
            </w:pPr>
            <w:r>
              <w:rPr>
                <w:sz w:val="16"/>
              </w:rPr>
            </w:r>
          </w:p>
        </w:tc>
        <w:tc>
          <w:tcPr>
            <w:tcW w:w="5587" w:type="dxa"/>
            <w:tcBorders/>
          </w:tcPr>
          <w:p>
            <w:pPr>
              <w:pStyle w:val="From"/>
              <w:rPr>
                <w:sz w:val="18"/>
              </w:rPr>
            </w:pPr>
            <w:r>
              <w:rPr>
                <w:sz w:val="18"/>
              </w:rPr>
              <w:t>Mark Taylor</w:t>
            </w:r>
          </w:p>
        </w:tc>
        <w:tc>
          <w:tcPr>
            <w:tcW w:w="1433" w:type="dxa"/>
            <w:tcBorders/>
          </w:tcPr>
          <w:p>
            <w:pPr>
              <w:pStyle w:val="Normal"/>
              <w:snapToGrid w:val="false"/>
              <w:ind w:start="-180" w:end="0"/>
              <w:jc w:val="end"/>
              <w:rPr>
                <w:sz w:val="16"/>
              </w:rPr>
            </w:pPr>
            <w:r>
              <w:rPr>
                <w:sz w:val="16"/>
              </w:rPr>
            </w:r>
          </w:p>
        </w:tc>
        <w:tc>
          <w:tcPr>
            <w:tcW w:w="2522" w:type="dxa"/>
            <w:tcBorders/>
          </w:tcPr>
          <w:p>
            <w:pPr>
              <w:pStyle w:val="Department"/>
              <w:snapToGrid w:val="false"/>
              <w:rPr>
                <w:sz w:val="16"/>
              </w:rPr>
            </w:pPr>
            <w:r>
              <w:rPr>
                <w:sz w:val="16"/>
              </w:rPr>
            </w:r>
          </w:p>
        </w:tc>
      </w:tr>
      <w:tr>
        <w:trPr/>
        <w:tc>
          <w:tcPr>
            <w:tcW w:w="1166" w:type="dxa"/>
            <w:tcBorders/>
          </w:tcPr>
          <w:p>
            <w:pPr>
              <w:pStyle w:val="Normal"/>
              <w:snapToGrid w:val="false"/>
              <w:ind w:start="-180" w:end="0"/>
              <w:jc w:val="end"/>
              <w:rPr>
                <w:sz w:val="16"/>
              </w:rPr>
            </w:pPr>
            <w:r>
              <w:rPr>
                <w:sz w:val="16"/>
              </w:rPr>
            </w:r>
          </w:p>
        </w:tc>
        <w:tc>
          <w:tcPr>
            <w:tcW w:w="5587" w:type="dxa"/>
            <w:tcBorders/>
          </w:tcPr>
          <w:p>
            <w:pPr>
              <w:pStyle w:val="From"/>
              <w:rPr>
                <w:sz w:val="18"/>
              </w:rPr>
            </w:pPr>
            <w:r>
              <w:rPr>
                <w:sz w:val="18"/>
              </w:rPr>
              <w:t>Elizabeth Sager</w:t>
            </w:r>
          </w:p>
        </w:tc>
        <w:tc>
          <w:tcPr>
            <w:tcW w:w="1433" w:type="dxa"/>
            <w:tcBorders/>
          </w:tcPr>
          <w:p>
            <w:pPr>
              <w:pStyle w:val="Normal"/>
              <w:snapToGrid w:val="false"/>
              <w:ind w:start="-180" w:end="0"/>
              <w:jc w:val="end"/>
              <w:rPr>
                <w:sz w:val="16"/>
              </w:rPr>
            </w:pPr>
            <w:r>
              <w:rPr>
                <w:sz w:val="16"/>
              </w:rPr>
            </w:r>
          </w:p>
        </w:tc>
        <w:tc>
          <w:tcPr>
            <w:tcW w:w="2522" w:type="dxa"/>
            <w:tcBorders/>
          </w:tcPr>
          <w:p>
            <w:pPr>
              <w:pStyle w:val="Department"/>
              <w:snapToGrid w:val="false"/>
              <w:rPr>
                <w:sz w:val="16"/>
              </w:rPr>
            </w:pPr>
            <w:r>
              <w:rPr>
                <w:sz w:val="16"/>
              </w:rPr>
            </w:r>
          </w:p>
        </w:tc>
      </w:tr>
      <w:tr>
        <w:trPr/>
        <w:tc>
          <w:tcPr>
            <w:tcW w:w="1166" w:type="dxa"/>
            <w:tcBorders/>
          </w:tcPr>
          <w:p>
            <w:pPr>
              <w:pStyle w:val="Normal"/>
              <w:snapToGrid w:val="false"/>
              <w:ind w:start="-180" w:end="0"/>
              <w:jc w:val="end"/>
              <w:rPr>
                <w:sz w:val="16"/>
              </w:rPr>
            </w:pPr>
            <w:r>
              <w:rPr>
                <w:sz w:val="16"/>
              </w:rPr>
            </w:r>
          </w:p>
        </w:tc>
        <w:tc>
          <w:tcPr>
            <w:tcW w:w="5587" w:type="dxa"/>
            <w:tcBorders/>
          </w:tcPr>
          <w:p>
            <w:pPr>
              <w:pStyle w:val="From"/>
              <w:rPr>
                <w:sz w:val="18"/>
              </w:rPr>
            </w:pPr>
            <w:r>
              <w:rPr>
                <w:sz w:val="18"/>
              </w:rPr>
              <w:t>Shari Stack</w:t>
            </w:r>
          </w:p>
        </w:tc>
        <w:tc>
          <w:tcPr>
            <w:tcW w:w="1433" w:type="dxa"/>
            <w:tcBorders/>
          </w:tcPr>
          <w:p>
            <w:pPr>
              <w:pStyle w:val="Normal"/>
              <w:snapToGrid w:val="false"/>
              <w:ind w:start="-180" w:end="0"/>
              <w:jc w:val="end"/>
              <w:rPr>
                <w:sz w:val="16"/>
              </w:rPr>
            </w:pPr>
            <w:r>
              <w:rPr>
                <w:sz w:val="16"/>
              </w:rPr>
            </w:r>
          </w:p>
        </w:tc>
        <w:tc>
          <w:tcPr>
            <w:tcW w:w="2522" w:type="dxa"/>
            <w:tcBorders/>
          </w:tcPr>
          <w:p>
            <w:pPr>
              <w:pStyle w:val="Department"/>
              <w:snapToGrid w:val="false"/>
              <w:rPr>
                <w:sz w:val="16"/>
              </w:rPr>
            </w:pPr>
            <w:r>
              <w:rPr>
                <w:sz w:val="16"/>
              </w:rPr>
            </w:r>
          </w:p>
        </w:tc>
      </w:tr>
      <w:tr>
        <w:trPr/>
        <w:tc>
          <w:tcPr>
            <w:tcW w:w="1166" w:type="dxa"/>
            <w:tcBorders/>
          </w:tcPr>
          <w:p>
            <w:pPr>
              <w:pStyle w:val="Normal"/>
              <w:snapToGrid w:val="false"/>
              <w:ind w:start="-180" w:end="0"/>
              <w:jc w:val="end"/>
              <w:rPr>
                <w:sz w:val="16"/>
              </w:rPr>
            </w:pPr>
            <w:r>
              <w:rPr>
                <w:sz w:val="16"/>
              </w:rPr>
            </w:r>
          </w:p>
        </w:tc>
        <w:tc>
          <w:tcPr>
            <w:tcW w:w="5587" w:type="dxa"/>
            <w:tcBorders/>
          </w:tcPr>
          <w:p>
            <w:pPr>
              <w:pStyle w:val="From"/>
              <w:snapToGrid w:val="false"/>
              <w:rPr>
                <w:sz w:val="18"/>
              </w:rPr>
            </w:pPr>
            <w:r>
              <w:rPr>
                <w:sz w:val="18"/>
              </w:rPr>
            </w:r>
          </w:p>
        </w:tc>
        <w:tc>
          <w:tcPr>
            <w:tcW w:w="1433" w:type="dxa"/>
            <w:tcBorders/>
          </w:tcPr>
          <w:p>
            <w:pPr>
              <w:pStyle w:val="Normal"/>
              <w:snapToGrid w:val="false"/>
              <w:ind w:start="-180" w:end="0"/>
              <w:jc w:val="end"/>
              <w:rPr>
                <w:sz w:val="16"/>
              </w:rPr>
            </w:pPr>
            <w:r>
              <w:rPr>
                <w:sz w:val="16"/>
              </w:rPr>
            </w:r>
          </w:p>
        </w:tc>
        <w:tc>
          <w:tcPr>
            <w:tcW w:w="2522" w:type="dxa"/>
            <w:tcBorders/>
          </w:tcPr>
          <w:p>
            <w:pPr>
              <w:pStyle w:val="Department"/>
              <w:snapToGrid w:val="false"/>
              <w:rPr>
                <w:sz w:val="16"/>
              </w:rPr>
            </w:pPr>
            <w:r>
              <w:rPr>
                <w:sz w:val="16"/>
              </w:rPr>
            </w:r>
          </w:p>
        </w:tc>
      </w:tr>
      <w:tr>
        <w:trPr/>
        <w:tc>
          <w:tcPr>
            <w:tcW w:w="1166" w:type="dxa"/>
            <w:tcBorders/>
          </w:tcPr>
          <w:p>
            <w:pPr>
              <w:pStyle w:val="Normal"/>
              <w:ind w:start="-180" w:end="0"/>
              <w:jc w:val="end"/>
              <w:rPr>
                <w:sz w:val="16"/>
              </w:rPr>
            </w:pPr>
            <w:r>
              <w:rPr>
                <w:sz w:val="16"/>
              </w:rPr>
              <w:t>From:</w:t>
            </w:r>
          </w:p>
        </w:tc>
        <w:tc>
          <w:tcPr>
            <w:tcW w:w="5587" w:type="dxa"/>
            <w:tcBorders/>
          </w:tcPr>
          <w:p>
            <w:pPr>
              <w:pStyle w:val="From"/>
              <w:rPr>
                <w:sz w:val="18"/>
              </w:rPr>
            </w:pPr>
            <w:r>
              <w:rPr>
                <w:sz w:val="18"/>
              </w:rPr>
              <w:t>Peter Keohane</w:t>
            </w:r>
          </w:p>
        </w:tc>
        <w:tc>
          <w:tcPr>
            <w:tcW w:w="1433" w:type="dxa"/>
            <w:tcBorders/>
          </w:tcPr>
          <w:p>
            <w:pPr>
              <w:pStyle w:val="Normal"/>
              <w:ind w:start="-180" w:end="0"/>
              <w:jc w:val="end"/>
              <w:rPr>
                <w:sz w:val="16"/>
              </w:rPr>
            </w:pPr>
            <w:r>
              <w:rPr>
                <w:sz w:val="16"/>
              </w:rPr>
              <w:t>Department:</w:t>
            </w:r>
          </w:p>
        </w:tc>
        <w:tc>
          <w:tcPr>
            <w:tcW w:w="2522" w:type="dxa"/>
            <w:tcBorders/>
          </w:tcPr>
          <w:p>
            <w:pPr>
              <w:pStyle w:val="Department"/>
              <w:rPr>
                <w:sz w:val="18"/>
              </w:rPr>
            </w:pPr>
            <w:bookmarkStart w:id="0" w:name="From"/>
            <w:bookmarkEnd w:id="0"/>
            <w:r>
              <w:rPr>
                <w:sz w:val="18"/>
              </w:rPr>
              <w:t>ECT Legal</w:t>
            </w:r>
          </w:p>
        </w:tc>
      </w:tr>
      <w:tr>
        <w:trPr/>
        <w:tc>
          <w:tcPr>
            <w:tcW w:w="1166" w:type="dxa"/>
            <w:tcBorders/>
          </w:tcPr>
          <w:p>
            <w:pPr>
              <w:pStyle w:val="Normal"/>
              <w:snapToGrid w:val="false"/>
              <w:ind w:start="-180" w:end="0"/>
              <w:jc w:val="end"/>
              <w:rPr>
                <w:sz w:val="18"/>
              </w:rPr>
            </w:pPr>
            <w:r>
              <w:rPr>
                <w:sz w:val="18"/>
              </w:rPr>
            </w:r>
          </w:p>
        </w:tc>
        <w:tc>
          <w:tcPr>
            <w:tcW w:w="5587" w:type="dxa"/>
            <w:tcBorders/>
          </w:tcPr>
          <w:p>
            <w:pPr>
              <w:pStyle w:val="Normal"/>
              <w:snapToGrid w:val="false"/>
              <w:rPr>
                <w:sz w:val="18"/>
              </w:rPr>
            </w:pPr>
            <w:r>
              <w:rPr>
                <w:sz w:val="18"/>
              </w:rPr>
            </w:r>
          </w:p>
        </w:tc>
        <w:tc>
          <w:tcPr>
            <w:tcW w:w="1433" w:type="dxa"/>
            <w:tcBorders/>
          </w:tcPr>
          <w:p>
            <w:pPr>
              <w:pStyle w:val="Normal"/>
              <w:snapToGrid w:val="false"/>
              <w:ind w:start="-180" w:end="0"/>
              <w:rPr>
                <w:sz w:val="18"/>
              </w:rPr>
            </w:pPr>
            <w:r>
              <w:rPr>
                <w:sz w:val="18"/>
              </w:rPr>
            </w:r>
          </w:p>
        </w:tc>
        <w:tc>
          <w:tcPr>
            <w:tcW w:w="2522" w:type="dxa"/>
            <w:tcBorders/>
          </w:tcPr>
          <w:p>
            <w:pPr>
              <w:pStyle w:val="Normal"/>
              <w:snapToGrid w:val="false"/>
              <w:rPr>
                <w:sz w:val="18"/>
              </w:rPr>
            </w:pPr>
            <w:r>
              <w:rPr>
                <w:sz w:val="18"/>
              </w:rPr>
            </w:r>
          </w:p>
        </w:tc>
      </w:tr>
      <w:tr>
        <w:trPr/>
        <w:tc>
          <w:tcPr>
            <w:tcW w:w="1166" w:type="dxa"/>
            <w:tcBorders>
              <w:bottom w:val="single" w:sz="12" w:space="0" w:color="000000"/>
            </w:tcBorders>
          </w:tcPr>
          <w:p>
            <w:pPr>
              <w:pStyle w:val="Normal"/>
              <w:ind w:start="-180" w:end="0"/>
              <w:jc w:val="end"/>
              <w:rPr>
                <w:sz w:val="16"/>
              </w:rPr>
            </w:pPr>
            <w:r>
              <w:rPr>
                <w:sz w:val="16"/>
              </w:rPr>
              <w:t>Subject:</w:t>
            </w:r>
          </w:p>
        </w:tc>
        <w:tc>
          <w:tcPr>
            <w:tcW w:w="5587" w:type="dxa"/>
            <w:tcBorders>
              <w:bottom w:val="single" w:sz="12" w:space="0" w:color="000000"/>
            </w:tcBorders>
          </w:tcPr>
          <w:p>
            <w:pPr>
              <w:pStyle w:val="Subject"/>
              <w:rPr>
                <w:sz w:val="18"/>
              </w:rPr>
            </w:pPr>
            <w:r>
              <w:rPr>
                <w:sz w:val="18"/>
              </w:rPr>
              <w:t>Blue Range Resource Corporation – Eligible Financial Contracts</w:t>
            </w:r>
          </w:p>
        </w:tc>
        <w:tc>
          <w:tcPr>
            <w:tcW w:w="1433" w:type="dxa"/>
            <w:tcBorders>
              <w:bottom w:val="single" w:sz="12" w:space="0" w:color="000000"/>
            </w:tcBorders>
          </w:tcPr>
          <w:p>
            <w:pPr>
              <w:pStyle w:val="Normal"/>
              <w:ind w:start="-180" w:end="0"/>
              <w:jc w:val="end"/>
              <w:rPr>
                <w:sz w:val="16"/>
              </w:rPr>
            </w:pPr>
            <w:r>
              <w:rPr>
                <w:sz w:val="16"/>
              </w:rPr>
              <w:t>Date:</w:t>
            </w:r>
          </w:p>
        </w:tc>
        <w:tc>
          <w:tcPr>
            <w:tcW w:w="2522" w:type="dxa"/>
            <w:tcBorders>
              <w:bottom w:val="single" w:sz="12" w:space="0" w:color="000000"/>
            </w:tcBorders>
          </w:tcPr>
          <w:p>
            <w:pPr>
              <w:pStyle w:val="Date"/>
              <w:rPr>
                <w:sz w:val="18"/>
              </w:rPr>
            </w:pPr>
            <w:r>
              <w:rPr>
                <w:sz w:val="18"/>
              </w:rPr>
              <w:t>September 6, 2000</w:t>
            </w:r>
          </w:p>
        </w:tc>
      </w:tr>
    </w:tbl>
    <w:p>
      <w:pPr>
        <w:pStyle w:val="Normal"/>
        <w:spacing w:lineRule="atLeast" w:line="240"/>
        <w:ind w:start="180" w:end="0"/>
        <w:jc w:val="both"/>
        <w:rPr>
          <w:color w:val="000000"/>
          <w:sz w:val="22"/>
          <w:lang w:eastAsia="en-US"/>
        </w:rPr>
      </w:pPr>
      <w:r>
        <w:rPr>
          <w:color w:val="000000"/>
          <w:sz w:val="22"/>
          <w:lang w:eastAsia="en-US"/>
        </w:rPr>
      </w:r>
      <w:bookmarkStart w:id="1" w:name="StartOfMemo"/>
      <w:bookmarkStart w:id="2" w:name="StartOfMemo"/>
      <w:bookmarkEnd w:id="2"/>
    </w:p>
    <w:p>
      <w:pPr>
        <w:pStyle w:val="Body"/>
        <w:spacing w:before="120" w:after="120"/>
        <w:ind w:start="180" w:end="0"/>
        <w:jc w:val="both"/>
        <w:rPr>
          <w:sz w:val="22"/>
        </w:rPr>
      </w:pPr>
      <w:r>
        <w:rPr>
          <w:sz w:val="22"/>
        </w:rPr>
        <w:t>I had earlier advised you that the Alberta Court of Appeal reversed the trial court decision of the Alberta Court of Queen's Bench with respect to rights of set-off, essentially confirming our position to permit the set-off of tables or negative termination amounts against prospective termination damages.  The trial court decision on set-off was unexpected and adverse, not only to Enron Canada but to the commodity trading and marketing industry in Canada.  As such, Enron Canada, with its outside counsel, Robert Anderson at Blake, Cassels &amp; Graydon, took the proactive and leading role in successfully advocating a reversal of the trial decision at the Court of Appeal.</w:t>
      </w:r>
    </w:p>
    <w:p>
      <w:pPr>
        <w:pStyle w:val="Body"/>
        <w:spacing w:before="120" w:after="120"/>
        <w:ind w:start="180" w:end="0"/>
        <w:jc w:val="both"/>
        <w:rPr>
          <w:sz w:val="22"/>
        </w:rPr>
      </w:pPr>
      <w:r>
        <w:rPr>
          <w:sz w:val="22"/>
        </w:rPr>
        <w:t>In addition, Enron Canada also took the initiative to argue for the treatment of our financial and physical trading contracts and transactions as "eligible financial contracts" under applicable insolvency legislation.  This categorization provides special protection in insolvency restructuring and bankruptcy proceedings, essentially carving these agreements out from the "stay" of proceedings and thereby permitting the non</w:t>
        <w:noBreakHyphen/>
        <w:t>insolvent counterparty to terminate and exercise closed-out netting and set-off rights unilaterally and without seeking the discretionary consent of the Court.  The trial court in the Blue Range proceedings was quick to find that the financial trading agreements and transactions constituted "eligible financial contracts" but decided not to categorize the physical trading agreements and transactions as "eligible financial contracts".  This was a matter not only of great significance to Enron Canada but to the commodity trading and marketing industry in Canada.  Again, Enron Canada and its counsel took the leading role in advocating that our physical trading agreements and transactions were "eligible financial contracts" through to the Court of Appeal.</w:t>
      </w:r>
    </w:p>
    <w:p>
      <w:pPr>
        <w:pStyle w:val="Body"/>
        <w:spacing w:before="120" w:after="120"/>
        <w:ind w:start="180" w:end="0"/>
        <w:jc w:val="both"/>
        <w:rPr>
          <w:sz w:val="22"/>
        </w:rPr>
      </w:pPr>
      <w:r>
        <w:rPr>
          <w:sz w:val="22"/>
        </w:rPr>
        <w:t>It should be noted that this matter had never been decided before in Canadian jurisprudence, and accordingly, the decision of the Court of Appeal would be the distinguishing, precedential decision on the topic.</w:t>
      </w:r>
    </w:p>
    <w:p>
      <w:pPr>
        <w:pStyle w:val="Body"/>
        <w:spacing w:before="120" w:after="120"/>
        <w:ind w:start="180" w:end="0"/>
        <w:jc w:val="both"/>
        <w:rPr>
          <w:sz w:val="22"/>
        </w:rPr>
      </w:pPr>
      <w:r>
        <w:rPr>
          <w:sz w:val="22"/>
        </w:rPr>
        <w:t>After a lengthy wait, the Court of Appeal issued its decision on August 31, 2000, which can be best summarized from the Court of Appeal judgment as follows:</w:t>
      </w:r>
    </w:p>
    <w:p>
      <w:pPr>
        <w:pStyle w:val="Body"/>
        <w:spacing w:before="120" w:after="120"/>
        <w:ind w:start="900" w:end="720"/>
        <w:jc w:val="both"/>
        <w:rPr>
          <w:sz w:val="22"/>
        </w:rPr>
      </w:pPr>
      <w:r>
        <w:rPr>
          <w:sz w:val="22"/>
        </w:rPr>
        <w:t>"Eligible financial contracts … include both physically-settled and financially-settled transactions.  Restricting forward commodity contracts … to cash-settled contracts is contrary to the plain meaning of the section and inconsistent with Parliament's objective of protecting the risk management structure within the derivatives market.  Nor is such a restriction necessary to achieve the purpose of the CCAA.  While forward commodity contracts may be physically-settled by delivery of product, they must be restricted to contracts for fungible commodities which trade in a liquid and volatile market.</w:t>
      </w:r>
    </w:p>
    <w:p>
      <w:pPr>
        <w:pStyle w:val="Body"/>
        <w:spacing w:before="120" w:after="120"/>
        <w:ind w:start="900" w:end="720"/>
        <w:jc w:val="both"/>
        <w:rPr>
          <w:sz w:val="22"/>
        </w:rPr>
      </w:pPr>
      <w:r>
        <w:rPr>
          <w:sz w:val="22"/>
        </w:rPr>
        <w:t>Natural gas is such a commodity.  Each of the agreements under consideration in this appeal is an eligible financial contract because it is either a forward commodity contract … a master agreement in respect of a forward commodity contract … or a guarantee of the liabilities under a forward commodity contract."</w:t>
      </w:r>
    </w:p>
    <w:p>
      <w:pPr>
        <w:pStyle w:val="Body"/>
        <w:spacing w:before="120" w:after="120"/>
        <w:ind w:start="180" w:end="0"/>
        <w:jc w:val="both"/>
        <w:rPr>
          <w:sz w:val="22"/>
        </w:rPr>
      </w:pPr>
      <w:r>
        <w:rPr>
          <w:sz w:val="22"/>
        </w:rPr>
        <w:t>In summary, Enron Canada, through taking an aggressive and well reasoned advocacy position, together with the excellent efforts of our outside counsel, has not only affected an excellent economic or commercial result from the Blue Range proceedings, but has obtained from the Court of Appeal three first-of-their-kind, landmark and defining decisions favourably treating the position of energy traders and marketers in Canadian insolvency proceedings, namely:</w:t>
      </w:r>
    </w:p>
    <w:p>
      <w:pPr>
        <w:pStyle w:val="Body"/>
        <w:numPr>
          <w:ilvl w:val="0"/>
          <w:numId w:val="2"/>
        </w:numPr>
        <w:spacing w:before="120" w:after="120"/>
        <w:jc w:val="both"/>
        <w:rPr>
          <w:sz w:val="22"/>
        </w:rPr>
      </w:pPr>
      <w:r>
        <w:rPr>
          <w:sz w:val="22"/>
        </w:rPr>
        <w:t>that the claims of shareholders, even if those claims are based upon unsecured judgment creditor remedies for misrepresentation, deceit or fraud, will not be treated as ordinary creditor claims and will be subordinated to the prior payment of unsecured creditors;</w:t>
      </w:r>
    </w:p>
    <w:p>
      <w:pPr>
        <w:pStyle w:val="Body"/>
        <w:numPr>
          <w:ilvl w:val="0"/>
          <w:numId w:val="2"/>
        </w:numPr>
        <w:spacing w:before="120" w:after="120"/>
        <w:jc w:val="both"/>
        <w:rPr>
          <w:sz w:val="22"/>
        </w:rPr>
      </w:pPr>
      <w:r>
        <w:rPr>
          <w:sz w:val="22"/>
        </w:rPr>
        <w:t>upon insolvency, amounts payable for commodities received (before or after the insolvency event) may be set off against prospective termination damages; and</w:t>
      </w:r>
    </w:p>
    <w:p>
      <w:pPr>
        <w:pStyle w:val="Body"/>
        <w:numPr>
          <w:ilvl w:val="0"/>
          <w:numId w:val="2"/>
        </w:numPr>
        <w:spacing w:before="120" w:after="120"/>
        <w:jc w:val="both"/>
        <w:rPr>
          <w:sz w:val="22"/>
        </w:rPr>
      </w:pPr>
      <w:r>
        <w:rPr>
          <w:sz w:val="22"/>
        </w:rPr>
        <w:t>physical and financial trading agreements constitute "eligible financial contracts" which may be unilaterally terminated upon insolvency with close-out netting and set-off.</w:t>
      </w:r>
    </w:p>
    <w:p>
      <w:pPr>
        <w:pStyle w:val="Body"/>
        <w:spacing w:before="120" w:after="120"/>
        <w:jc w:val="both"/>
        <w:rPr>
          <w:sz w:val="22"/>
        </w:rPr>
      </w:pPr>
      <w:r>
        <w:rPr>
          <w:sz w:val="22"/>
        </w:rPr>
        <w:t>Finally, of interest, the Court of Appeal quoted favourably from the various sources of expert opinion and writing proffered by Enron Canada, including:</w:t>
      </w:r>
    </w:p>
    <w:p>
      <w:pPr>
        <w:pStyle w:val="Body"/>
        <w:numPr>
          <w:ilvl w:val="0"/>
          <w:numId w:val="3"/>
        </w:numPr>
        <w:tabs>
          <w:tab w:val="left" w:pos="792" w:leader="none"/>
        </w:tabs>
        <w:spacing w:before="120" w:after="120"/>
        <w:ind w:hanging="720" w:start="792" w:end="0"/>
        <w:jc w:val="both"/>
        <w:rPr>
          <w:sz w:val="22"/>
        </w:rPr>
      </w:pPr>
      <w:r>
        <w:rPr>
          <w:sz w:val="22"/>
        </w:rPr>
        <w:t>various expert affidavits of Rob Milnthorp;</w:t>
      </w:r>
    </w:p>
    <w:p>
      <w:pPr>
        <w:pStyle w:val="Body"/>
        <w:numPr>
          <w:ilvl w:val="0"/>
          <w:numId w:val="3"/>
        </w:numPr>
        <w:tabs>
          <w:tab w:val="left" w:pos="792" w:leader="none"/>
        </w:tabs>
        <w:spacing w:before="120" w:after="120"/>
        <w:ind w:hanging="720" w:start="792" w:end="0"/>
        <w:jc w:val="both"/>
        <w:rPr>
          <w:sz w:val="22"/>
        </w:rPr>
      </w:pPr>
      <w:r>
        <w:rPr>
          <w:sz w:val="22"/>
        </w:rPr>
        <w:t>expert affidavit of Ken Raisler of Sullivan Cromwell;</w:t>
      </w:r>
    </w:p>
    <w:p>
      <w:pPr>
        <w:pStyle w:val="Body"/>
        <w:numPr>
          <w:ilvl w:val="0"/>
          <w:numId w:val="3"/>
        </w:numPr>
        <w:tabs>
          <w:tab w:val="left" w:pos="792" w:leader="none"/>
        </w:tabs>
        <w:spacing w:before="120" w:after="120"/>
        <w:ind w:hanging="720" w:start="792" w:end="0"/>
        <w:jc w:val="both"/>
        <w:rPr>
          <w:sz w:val="22"/>
        </w:rPr>
      </w:pPr>
      <w:r>
        <w:rPr>
          <w:sz w:val="22"/>
        </w:rPr>
        <w:t>Mark Haedicke's and Alan Aronowitz's article from Energy Law and Transactions; and</w:t>
      </w:r>
    </w:p>
    <w:p>
      <w:pPr>
        <w:pStyle w:val="Body"/>
        <w:numPr>
          <w:ilvl w:val="0"/>
          <w:numId w:val="3"/>
        </w:numPr>
        <w:tabs>
          <w:tab w:val="left" w:pos="792" w:leader="none"/>
        </w:tabs>
        <w:spacing w:before="120" w:after="120"/>
        <w:ind w:hanging="720" w:start="792" w:end="0"/>
        <w:jc w:val="both"/>
        <w:rPr>
          <w:sz w:val="22"/>
        </w:rPr>
      </w:pPr>
      <w:r>
        <w:rPr>
          <w:sz w:val="22"/>
        </w:rPr>
        <w:t>expert opinion of James Joyce of Risk Advisory.</w:t>
      </w:r>
    </w:p>
    <w:p>
      <w:pPr>
        <w:pStyle w:val="Body"/>
        <w:spacing w:before="120" w:after="120"/>
        <w:jc w:val="both"/>
        <w:rPr>
          <w:sz w:val="22"/>
        </w:rPr>
      </w:pPr>
      <w:r>
        <w:rPr>
          <w:sz w:val="22"/>
        </w:rPr>
        <w:t>For your convenience of reference, I have attached a copy of the Court of Appeal judgment.  You will note that there is reference to the transactions involving Duke Energy Canada and Engage Energy Canada, but both of those firms took a passive role in the proceedings, merely adopting the positions and arguments of Enron Canada.  In addition, you will also see that TransCanada Energy and ISDA both intervened in the appeal, making only secondary supporting arguments.</w:t>
      </w:r>
    </w:p>
    <w:p>
      <w:pPr>
        <w:pStyle w:val="Body"/>
        <w:spacing w:before="120" w:after="120"/>
        <w:jc w:val="both"/>
        <w:rPr>
          <w:sz w:val="22"/>
        </w:rPr>
      </w:pPr>
      <w:r>
        <w:rPr>
          <w:sz w:val="22"/>
        </w:rPr>
        <w:t>In short, the result of this decision and the decisions referred to above are largely, if not entirely, the result of the efforts of Enron Canada and its counsel.</w:t>
      </w:r>
    </w:p>
    <w:p>
      <w:pPr>
        <w:pStyle w:val="Body"/>
        <w:spacing w:before="120" w:after="120"/>
        <w:ind w:start="0" w:end="0"/>
        <w:jc w:val="both"/>
        <w:rPr>
          <w:sz w:val="22"/>
        </w:rPr>
      </w:pPr>
      <w:r>
        <w:rPr>
          <w:sz w:val="22"/>
        </w:rPr>
      </w:r>
    </w:p>
    <w:p>
      <w:pPr>
        <w:pStyle w:val="Body"/>
        <w:spacing w:before="120" w:after="120"/>
        <w:ind w:start="0" w:end="0"/>
        <w:jc w:val="both"/>
        <w:rPr>
          <w:sz w:val="22"/>
        </w:rPr>
      </w:pPr>
      <w:r>
        <w:rPr>
          <w:sz w:val="22"/>
        </w:rPr>
      </w:r>
    </w:p>
    <w:p>
      <w:pPr>
        <w:pStyle w:val="Body"/>
        <w:spacing w:before="120" w:after="120"/>
        <w:ind w:start="0" w:end="0"/>
        <w:jc w:val="both"/>
        <w:rPr>
          <w:sz w:val="18"/>
        </w:rPr>
      </w:pPr>
      <w:r>
        <w:rPr>
          <w:sz w:val="18"/>
        </w:rPr>
        <w:t>Attachment (1)</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/mnt/main-storage/datasets/enron-docs/doc/Memo.AB_Court_of_Appeal_Decision.doc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/mnt/main-storage/datasets/enron-docs/doc/Memo.AB_Court_of_Appeal_Decision.doc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64"/>
        </w:tabs>
        <w:ind w:start="864" w:hanging="720"/>
      </w:pPr>
    </w:lvl>
  </w:abstractNum>
  <w:abstractNum w:abstractNumId="3">
    <w:lvl w:ilvl="0">
      <w:start w:val="1"/>
      <w:numFmt w:val="decimal"/>
      <w:lvlText w:val="%1."/>
      <w:lvlJc w:val="start"/>
      <w:pPr>
        <w:tabs>
          <w:tab w:val="num" w:pos="864"/>
        </w:tabs>
        <w:ind w:start="864"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ind w:hanging="0" w:start="180" w:end="0"/>
      <w:jc w:val="both"/>
      <w:outlineLvl w:val="0"/>
    </w:pPr>
    <w:rPr>
      <w:color w:val="000000"/>
      <w:sz w:val="22"/>
      <w:u w:val="single"/>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BodyTextIndent2">
    <w:name w:val="Body Text Indent 2"/>
    <w:basedOn w:val="Normal"/>
    <w:qFormat/>
    <w:pPr>
      <w:spacing w:lineRule="atLeast" w:line="240"/>
      <w:ind w:hanging="0" w:start="180"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2000-09-06T12:51:00Z</dcterms:created>
  <dc:creator>scrawfo3</dc:creator>
  <dc:description/>
  <dc:language>en-CA</dc:language>
  <cp:lastModifiedBy>scrawfo3</cp:lastModifiedBy>
  <cp:lastPrinted>2000-09-06T11:40:00Z</cp:lastPrinted>
  <dcterms:modified xsi:type="dcterms:W3CDTF">2000-09-06T15:36:00Z</dcterms:modified>
  <cp:revision>13</cp:revision>
  <dc:subject/>
  <dc:title>Eron Capital &amp; Trade Resources Memo</dc:title>
</cp:coreProperties>
</file>