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jc w:val="both"/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/>
      </w:r>
    </w:p>
    <w:tbl>
      <w:tblPr>
        <w:tblW w:w="1071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5490"/>
        <w:gridCol w:w="1355"/>
        <w:gridCol w:w="2965"/>
      </w:tblGrid>
      <w:tr>
        <w:trPr>
          <w:trHeight w:val="308" w:hRule="atLeast"/>
        </w:trPr>
        <w:tc>
          <w:tcPr>
            <w:tcW w:w="900" w:type="dxa"/>
            <w:tcBorders/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To:</w:t>
            </w:r>
          </w:p>
        </w:tc>
        <w:tc>
          <w:tcPr>
            <w:tcW w:w="5490" w:type="dxa"/>
            <w:tcBorders/>
          </w:tcPr>
          <w:p>
            <w:pPr>
              <w:pStyle w:val="To"/>
              <w:rPr>
                <w:rFonts w:cs="Arial"/>
              </w:rPr>
            </w:pPr>
            <w:r>
              <w:rPr>
                <w:rFonts w:cs="Arial"/>
              </w:rPr>
              <w:t>Richard Lassander</w:t>
            </w:r>
          </w:p>
        </w:tc>
        <w:tc>
          <w:tcPr>
            <w:tcW w:w="135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90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5490" w:type="dxa"/>
            <w:tcBorders/>
          </w:tcPr>
          <w:p>
            <w:pPr>
              <w:pStyle w:val="From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135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Department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900" w:type="dxa"/>
            <w:tcBorders/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From:</w:t>
            </w:r>
          </w:p>
        </w:tc>
        <w:tc>
          <w:tcPr>
            <w:tcW w:w="5490" w:type="dxa"/>
            <w:tcBorders/>
          </w:tcPr>
          <w:p>
            <w:pPr>
              <w:pStyle w:val="From"/>
              <w:jc w:val="both"/>
              <w:rPr>
                <w:rFonts w:cs="Arial"/>
              </w:rPr>
            </w:pPr>
            <w:r>
              <w:rPr>
                <w:rFonts w:cs="Arial"/>
              </w:rPr>
              <w:t>Jeff Hodge</w:t>
            </w:r>
          </w:p>
        </w:tc>
        <w:tc>
          <w:tcPr>
            <w:tcW w:w="1355" w:type="dxa"/>
            <w:tcBorders/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jc w:val="both"/>
              <w:rPr>
                <w:rFonts w:cs="Arial"/>
              </w:rPr>
            </w:pPr>
            <w:bookmarkStart w:id="0" w:name="From"/>
            <w:bookmarkEnd w:id="0"/>
            <w:r>
              <w:rPr>
                <w:rFonts w:cs="Arial"/>
              </w:rPr>
              <w:t>ENA - Legal</w:t>
            </w:r>
          </w:p>
        </w:tc>
      </w:tr>
      <w:tr>
        <w:trPr>
          <w:trHeight w:val="216" w:hRule="exact"/>
        </w:trPr>
        <w:tc>
          <w:tcPr>
            <w:tcW w:w="90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5490" w:type="dxa"/>
            <w:tcBorders/>
          </w:tcPr>
          <w:p>
            <w:pPr>
              <w:pStyle w:val="Subject"/>
              <w:tabs>
                <w:tab w:val="left" w:pos="540" w:leader="none"/>
              </w:tabs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135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600" w:hRule="exact"/>
        </w:trPr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Subject:</w:t>
            </w:r>
          </w:p>
        </w:tc>
        <w:tc>
          <w:tcPr>
            <w:tcW w:w="5490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>
                <w:rFonts w:cs="Arial"/>
              </w:rPr>
              <w:t>Hydro-Quebec (“</w:t>
            </w:r>
            <w:r>
              <w:rPr>
                <w:rFonts w:cs="Arial"/>
                <w:u w:val="single"/>
              </w:rPr>
              <w:t>HQ</w:t>
            </w:r>
            <w:r>
              <w:rPr>
                <w:rFonts w:cs="Arial"/>
              </w:rPr>
              <w:t>”)</w:t>
            </w:r>
          </w:p>
        </w:tc>
        <w:tc>
          <w:tcPr>
            <w:tcW w:w="1355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DATE \@"MMMM\ d', 'yyyy"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September 28, 2025</w:t>
            </w:r>
            <w:r>
              <w:rPr>
                <w:rFonts w:cs="Arial"/>
              </w:rPr>
              <w:fldChar w:fldCharType="end"/>
            </w:r>
          </w:p>
        </w:tc>
      </w:tr>
    </w:tbl>
    <w:p>
      <w:pPr>
        <w:pStyle w:val="Body"/>
        <w:jc w:val="both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firstLine="720" w:start="0" w:end="0"/>
        <w:jc w:val="both"/>
        <w:rPr/>
      </w:pPr>
      <w:r>
        <w:rPr/>
        <w:t>Your e-mail came at a very opportune time as I was thinking about the timing on the transaction you mentioned.  In any event, there are two dates that we need to be considering.  Those dates are as follows:</w:t>
      </w:r>
    </w:p>
    <w:p>
      <w:pPr>
        <w:pStyle w:val="Body"/>
        <w:ind w:firstLine="720" w:start="0" w:end="0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jc w:val="both"/>
        <w:rPr/>
      </w:pPr>
      <w:r>
        <w:rPr/>
        <w:t>Enron must provide HQ a monthly average floating transport set by EPMI monthly and agreed to by HQ 20 days prior to exercise date.</w:t>
      </w:r>
    </w:p>
    <w:p>
      <w:pPr>
        <w:pStyle w:val="Body"/>
        <w:numPr>
          <w:ilvl w:val="0"/>
          <w:numId w:val="2"/>
        </w:numPr>
        <w:jc w:val="both"/>
        <w:rPr/>
      </w:pPr>
      <w:r>
        <w:rPr/>
        <w:t>HQ must exercise the option on December 22, 2001.</w:t>
      </w:r>
    </w:p>
    <w:p>
      <w:pPr>
        <w:pStyle w:val="Body"/>
        <w:ind w:firstLine="720" w:start="0" w:end="0"/>
        <w:jc w:val="both"/>
        <w:rPr/>
      </w:pPr>
      <w:r>
        <w:rPr/>
      </w:r>
    </w:p>
    <w:p>
      <w:pPr>
        <w:pStyle w:val="Body"/>
        <w:ind w:firstLine="720" w:start="0" w:end="0"/>
        <w:jc w:val="both"/>
        <w:rPr/>
      </w:pPr>
      <w:r>
        <w:rPr/>
        <w:t>I trust the foregoing meets your current needs.  Should you have any questions or comments, please contact me at your convenience.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  <w:t>cc:</w:t>
        <w:tab/>
        <w:t>Jennifer Fraser</w:t>
      </w:r>
    </w:p>
    <w:p>
      <w:pPr>
        <w:pStyle w:val="Body"/>
        <w:ind w:start="0" w:end="0"/>
        <w:jc w:val="both"/>
        <w:rPr/>
      </w:pPr>
      <w:r>
        <w:rPr/>
        <w:tab/>
        <w:t>Jeff Shankman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600" w:leader="none"/>
        <w:tab w:val="left" w:pos="4770" w:leader="none"/>
        <w:tab w:val="left" w:pos="64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/mnt/main-storage/datasets/enron-docs/doc/Memo-edbe3debaac02ee49fe64f4f221a36202f3ac0d1142634430ac3b3f781d65328.doc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;Times New Roman" w:hAnsi="CG Times;Times New Roman" w:cs="CG Times;Times New Roman"/>
      <w:b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clear" w:pos="540"/>
        <w:tab w:val="left" w:pos="720" w:leader="none"/>
      </w:tabs>
      <w:overflowPunct w:val="true"/>
      <w:autoSpaceDE w:val="true"/>
      <w:ind w:hanging="0" w:start="720" w:end="0"/>
      <w:jc w:val="both"/>
      <w:textAlignment w:val="auto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2001-11-26T17:50:00Z</dcterms:created>
  <dc:creator>protmp3</dc:creator>
  <dc:description/>
  <dc:language>en-CA</dc:language>
  <cp:lastModifiedBy>jrozycki</cp:lastModifiedBy>
  <cp:lastPrinted>2001-11-26T14:20:00Z</cp:lastPrinted>
  <dcterms:modified xsi:type="dcterms:W3CDTF">2001-11-26T17:50:00Z</dcterms:modified>
  <cp:revision>2</cp:revision>
  <dc:subject/>
  <dc:title>Better, Faster, Simpler Memo </dc:title>
</cp:coreProperties>
</file>