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 xml:space="preserve">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8"/>
        <w:widowControl w:val="false"/>
        <w:tabs>
          <w:tab w:val="clear" w:pos="0"/>
          <w:tab w:val="clear" w:pos="720"/>
          <w:tab w:val="clear" w:pos="1440"/>
          <w:tab w:val="clear" w:pos="2160"/>
          <w:tab w:val="clear" w:pos="2880"/>
          <w:tab w:val="clear" w:pos="3600"/>
          <w:tab w:val="clear" w:pos="4320"/>
          <w:tab w:val="clear" w:pos="5040"/>
          <w:tab w:val="clear" w:pos="6390"/>
          <w:tab w:val="clear" w:pos="7200"/>
          <w:tab w:val="clear" w:pos="7920"/>
          <w:tab w:val="clear" w:pos="8640"/>
          <w:tab w:val="clear" w:pos="9360"/>
          <w:tab w:val="left" w:pos="-1440" w:leader="none"/>
          <w:tab w:val="left" w:pos="-720" w:leader="none"/>
        </w:tabs>
        <w:ind w:hanging="0" w:start="0"/>
        <w:rPr>
          <w:sz w:val="24"/>
        </w:rPr>
      </w:pPr>
      <w:r>
        <w:rPr>
          <w:sz w:val="24"/>
        </w:rPr>
      </w:r>
    </w:p>
    <w:p>
      <w:pPr>
        <w:pStyle w:val="Heading8"/>
        <w:widowControl w:val="false"/>
        <w:tabs>
          <w:tab w:val="clear" w:pos="0"/>
          <w:tab w:val="clear" w:pos="720"/>
          <w:tab w:val="clear" w:pos="1440"/>
          <w:tab w:val="clear" w:pos="2160"/>
          <w:tab w:val="clear" w:pos="2880"/>
          <w:tab w:val="clear" w:pos="3600"/>
          <w:tab w:val="clear" w:pos="4320"/>
          <w:tab w:val="clear" w:pos="5040"/>
          <w:tab w:val="clear" w:pos="6390"/>
          <w:tab w:val="clear" w:pos="7200"/>
          <w:tab w:val="clear" w:pos="7920"/>
          <w:tab w:val="clear" w:pos="8640"/>
          <w:tab w:val="clear" w:pos="9360"/>
          <w:tab w:val="left" w:pos="-1440" w:leader="none"/>
          <w:tab w:val="left" w:pos="-720" w:leader="none"/>
        </w:tabs>
        <w:ind w:hanging="0" w:start="0"/>
        <w:rPr/>
      </w:pPr>
      <w:r>
        <w:rPr/>
        <w:t>September 19, 2001</w:t>
      </w:r>
    </w:p>
    <w:p>
      <w:pPr>
        <w:pStyle w:val="Normal"/>
        <w:rPr>
          <w:sz w:val="24"/>
        </w:rPr>
      </w:pPr>
      <w:r>
        <w:rPr>
          <w:sz w:val="24"/>
        </w:rPr>
      </w:r>
    </w:p>
    <w:p>
      <w:pPr>
        <w:pStyle w:val="Normal"/>
        <w:rPr>
          <w:sz w:val="24"/>
        </w:rPr>
      </w:pPr>
      <w:r>
        <w:rPr>
          <w:sz w:val="24"/>
        </w:rPr>
      </w:r>
    </w:p>
    <w:p>
      <w:pPr>
        <w:pStyle w:val="Normal"/>
        <w:rPr>
          <w:sz w:val="24"/>
        </w:rPr>
      </w:pPr>
      <w:r>
        <w:rPr>
          <w:bCs/>
          <w:sz w:val="24"/>
          <w:szCs w:val="28"/>
        </w:rPr>
        <w:t>MEMORANDUM</w:t>
      </w:r>
    </w:p>
    <w:p>
      <w:pPr>
        <w:pStyle w:val="Normal"/>
        <w:rPr>
          <w:sz w:val="24"/>
        </w:rPr>
      </w:pPr>
      <w:r>
        <w:rPr>
          <w:sz w:val="24"/>
        </w:rPr>
      </w:r>
    </w:p>
    <w:p>
      <w:pPr>
        <w:pStyle w:val="Normal"/>
        <w:rPr>
          <w:sz w:val="24"/>
        </w:rPr>
      </w:pPr>
      <w:r>
        <w:rPr>
          <w:sz w:val="24"/>
        </w:rPr>
        <w:t>To:</w:t>
        <w:tab/>
        <w:tab/>
        <w:t>Members, Subcommittee on Energy and Air Quality</w:t>
      </w:r>
    </w:p>
    <w:p>
      <w:pPr>
        <w:pStyle w:val="Normal"/>
        <w:rPr>
          <w:sz w:val="24"/>
        </w:rPr>
      </w:pPr>
      <w:r>
        <w:rPr>
          <w:sz w:val="24"/>
        </w:rPr>
      </w:r>
    </w:p>
    <w:p>
      <w:pPr>
        <w:pStyle w:val="Normal"/>
        <w:rPr>
          <w:sz w:val="24"/>
        </w:rPr>
      </w:pPr>
      <w:r>
        <w:rPr>
          <w:sz w:val="24"/>
        </w:rPr>
        <w:t>From:</w:t>
        <w:tab/>
        <w:tab/>
        <w:t>Committee Staff</w:t>
      </w:r>
    </w:p>
    <w:p>
      <w:pPr>
        <w:pStyle w:val="Normal"/>
        <w:rPr>
          <w:sz w:val="24"/>
        </w:rPr>
      </w:pPr>
      <w:r>
        <w:rPr>
          <w:sz w:val="24"/>
        </w:rPr>
      </w:r>
    </w:p>
    <w:p>
      <w:pPr>
        <w:pStyle w:val="Normal"/>
        <w:rPr>
          <w:sz w:val="24"/>
        </w:rPr>
      </w:pPr>
      <w:r>
        <w:rPr>
          <w:sz w:val="24"/>
        </w:rPr>
        <w:t>Subject:</w:t>
        <w:tab/>
        <w:t>Hearing on National Electricity Policy: Federal Government Perspectives.</w:t>
      </w:r>
    </w:p>
    <w:p>
      <w:pPr>
        <w:pStyle w:val="Normal"/>
        <w:rPr>
          <w:sz w:val="24"/>
        </w:rPr>
      </w:pPr>
      <w:r>
        <w:rPr>
          <w:sz w:val="24"/>
        </w:rPr>
      </w:r>
    </w:p>
    <w:p>
      <w:pPr>
        <w:pStyle w:val="Normal"/>
        <w:ind w:firstLine="720" w:end="0"/>
        <w:jc w:val="both"/>
        <w:rPr/>
      </w:pPr>
      <w:r>
        <w:rPr>
          <w:sz w:val="24"/>
        </w:rPr>
        <w:t>On Thursday, September 20, 2001 in Room 2123 of the Rayburn House Office Building, the Subcommittee on Energy and Air Quality will hold a hearing on “National Electricity Policy: Federal Government Perspectives</w:t>
      </w:r>
      <w:r>
        <w:rPr>
          <w:sz w:val="24"/>
          <w:szCs w:val="20"/>
        </w:rPr>
        <w:t>.</w:t>
      </w:r>
      <w:r>
        <w:rPr>
          <w:bCs/>
          <w:sz w:val="24"/>
        </w:rPr>
        <w:t>”  The hearing will take place at 2:00 p.m.  It is one of a series of hearings that will address the development of a national comprehensive electricity policy.</w:t>
      </w:r>
    </w:p>
    <w:p>
      <w:pPr>
        <w:pStyle w:val="Normal"/>
        <w:jc w:val="both"/>
        <w:rPr>
          <w:bCs/>
          <w:sz w:val="24"/>
        </w:rPr>
      </w:pPr>
      <w:r>
        <w:rPr>
          <w:bCs/>
          <w:sz w:val="24"/>
        </w:rPr>
      </w:r>
    </w:p>
    <w:p>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0" w:start="0"/>
        <w:jc w:val="both"/>
        <w:rPr/>
      </w:pPr>
      <w:r>
        <w:rPr/>
        <w:t>Witnesses</w:t>
      </w:r>
    </w:p>
    <w:p>
      <w:pPr>
        <w:pStyle w:val="Normal"/>
        <w:jc w:val="both"/>
        <w:rPr/>
      </w:pPr>
      <w:r>
        <w:rPr/>
      </w:r>
    </w:p>
    <w:p>
      <w:pPr>
        <w:pStyle w:val="Normal"/>
        <w:jc w:val="both"/>
        <w:rPr>
          <w:sz w:val="24"/>
        </w:rPr>
      </w:pPr>
      <w:r>
        <w:rPr>
          <w:sz w:val="24"/>
        </w:rPr>
        <w:tab/>
        <w:t>There will be two panels of witnesses.  The first panel will consist of a witness from the Department of Energy.  The second panel will consist of the Commissioners from the Federal Energy Regulatory Commission.  In their testimony, witnesses were asked to discuss the following:</w:t>
      </w:r>
    </w:p>
    <w:p>
      <w:pPr>
        <w:pStyle w:val="Normal"/>
        <w:numPr>
          <w:ilvl w:val="0"/>
          <w:numId w:val="2"/>
        </w:numPr>
        <w:jc w:val="both"/>
        <w:rPr>
          <w:sz w:val="24"/>
        </w:rPr>
      </w:pPr>
      <w:r>
        <w:rPr>
          <w:sz w:val="24"/>
        </w:rPr>
        <w:t>The electric power industry past, present, and future;</w:t>
      </w:r>
    </w:p>
    <w:p>
      <w:pPr>
        <w:pStyle w:val="Normal"/>
        <w:numPr>
          <w:ilvl w:val="0"/>
          <w:numId w:val="2"/>
        </w:numPr>
        <w:jc w:val="both"/>
        <w:rPr>
          <w:sz w:val="24"/>
        </w:rPr>
      </w:pPr>
      <w:r>
        <w:rPr>
          <w:sz w:val="24"/>
        </w:rPr>
        <w:t>The desirability of competitive, efficient wholesale markets, barriers to functioning markets, and the role of the Federal government in establishing such markets;</w:t>
      </w:r>
    </w:p>
    <w:p>
      <w:pPr>
        <w:pStyle w:val="Normal"/>
        <w:numPr>
          <w:ilvl w:val="0"/>
          <w:numId w:val="2"/>
        </w:numPr>
        <w:jc w:val="both"/>
        <w:rPr>
          <w:sz w:val="24"/>
        </w:rPr>
      </w:pPr>
      <w:r>
        <w:rPr>
          <w:sz w:val="24"/>
        </w:rPr>
        <w:t>The impact of current laws and regulations upon achievement of a competitive electricity markets, including but not limited to the Public Utility Holding Company Act of 1935 (PUHCA), the Energy Policy Act of 1992 (EPAct), the Public Utility Regulatory Policies Act of 1978 (PURPA); and the absence of uniform interconnection standards for both large and small electric power generating facilities.</w:t>
      </w:r>
    </w:p>
    <w:p>
      <w:pPr>
        <w:pStyle w:val="Normal"/>
        <w:numPr>
          <w:ilvl w:val="0"/>
          <w:numId w:val="2"/>
        </w:numPr>
        <w:jc w:val="both"/>
        <w:rPr>
          <w:sz w:val="24"/>
        </w:rPr>
      </w:pPr>
      <w:r>
        <w:rPr>
          <w:sz w:val="24"/>
        </w:rPr>
        <w:t>The impact upon wholesale and retail consumers of 1) the current market structure and 2) the recommended changes expected to be advocated at the hearing;</w:t>
      </w:r>
    </w:p>
    <w:p>
      <w:pPr>
        <w:pStyle w:val="Normal"/>
        <w:numPr>
          <w:ilvl w:val="0"/>
          <w:numId w:val="2"/>
        </w:numPr>
        <w:jc w:val="both"/>
        <w:rPr>
          <w:sz w:val="24"/>
        </w:rPr>
      </w:pPr>
      <w:r>
        <w:rPr>
          <w:sz w:val="24"/>
        </w:rPr>
        <w:t>The status of, and outlook for, formation of Regional Transmission Organizations (RTOs);</w:t>
      </w:r>
    </w:p>
    <w:p>
      <w:pPr>
        <w:pStyle w:val="Normal"/>
        <w:numPr>
          <w:ilvl w:val="0"/>
          <w:numId w:val="2"/>
        </w:numPr>
        <w:jc w:val="both"/>
        <w:rPr>
          <w:sz w:val="24"/>
        </w:rPr>
      </w:pPr>
      <w:r>
        <w:rPr>
          <w:sz w:val="24"/>
        </w:rPr>
        <w:t xml:space="preserve">The need for expanded electric transmission capacity and the effectiveness of current Federal and State siting regimes and transmission rate structures in bringing about needed investment in transmission; </w:t>
      </w:r>
    </w:p>
    <w:p>
      <w:pPr>
        <w:pStyle w:val="Normal"/>
        <w:numPr>
          <w:ilvl w:val="0"/>
          <w:numId w:val="2"/>
        </w:numPr>
        <w:jc w:val="both"/>
        <w:rPr>
          <w:sz w:val="24"/>
        </w:rPr>
      </w:pPr>
      <w:r>
        <w:rPr>
          <w:sz w:val="24"/>
        </w:rPr>
        <w:t>The role of the Federal Government in investigating and overseeing competitive wholesale electricity markets, the ability of today’s Federal Energy Regulatory Commission to carry out that function, and authority of the Commission to remedy violations law.</w:t>
      </w:r>
    </w:p>
    <w:p>
      <w:pPr>
        <w:pStyle w:val="Normal"/>
        <w:numPr>
          <w:ilvl w:val="0"/>
          <w:numId w:val="2"/>
        </w:numPr>
        <w:jc w:val="both"/>
        <w:rPr>
          <w:sz w:val="24"/>
        </w:rPr>
      </w:pPr>
      <w:r>
        <w:rPr>
          <w:sz w:val="24"/>
        </w:rPr>
        <w:t>Whether Federal legislation is needed to advance the policies identified at the hearing and, if so, discuss the specific elements of such legislation.</w:t>
      </w:r>
    </w:p>
    <w:p>
      <w:pPr>
        <w:pStyle w:val="Normal"/>
        <w:jc w:val="both"/>
        <w:rPr>
          <w:sz w:val="24"/>
        </w:rPr>
      </w:pPr>
      <w:r>
        <w:rPr>
          <w:sz w:val="24"/>
        </w:rPr>
      </w:r>
    </w:p>
    <w:p>
      <w:pPr>
        <w:pStyle w:val="Normal"/>
        <w:jc w:val="both"/>
        <w:rPr>
          <w:sz w:val="24"/>
        </w:rPr>
      </w:pPr>
      <w:r>
        <w:rPr>
          <w:sz w:val="24"/>
        </w:rPr>
        <w:t>Further, in light of the unspeakable events of Tuesday, September 11, 2001, the Committee has also requested that witnesses be prepared to discuss the security of our Nation’s electric power infrastructure, the ability of that infrastructure to sustain a similar terrorist attack, and measures the Federal government is undertaking to protect the integrity of the Nation’s electric power infrastructure against future terrorist incidents.</w:t>
      </w:r>
    </w:p>
    <w:p>
      <w:pPr>
        <w:pStyle w:val="Normal"/>
        <w:jc w:val="both"/>
        <w:rPr>
          <w:sz w:val="24"/>
        </w:rPr>
      </w:pPr>
      <w:r>
        <w:rPr>
          <w:sz w:val="24"/>
        </w:rPr>
      </w:r>
    </w:p>
    <w:p>
      <w:pPr>
        <w:pStyle w:val="Normal"/>
        <w:ind w:firstLine="720" w:end="0"/>
        <w:jc w:val="both"/>
        <w:rPr>
          <w:sz w:val="24"/>
        </w:rPr>
      </w:pPr>
      <w:r>
        <w:rPr>
          <w:sz w:val="24"/>
        </w:rPr>
        <w:t xml:space="preserve">Finally, the Securities and Exchange Commission was asked to testify on the Public Utility Holding Company Act but was unable to attend.  </w:t>
      </w:r>
    </w:p>
    <w:p>
      <w:pPr>
        <w:pStyle w:val="Normal"/>
        <w:jc w:val="both"/>
        <w:rPr>
          <w:sz w:val="24"/>
        </w:rPr>
      </w:pPr>
      <w:r>
        <w:rPr>
          <w:sz w:val="24"/>
        </w:rPr>
      </w:r>
    </w:p>
    <w:p>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0" w:start="0"/>
        <w:jc w:val="both"/>
        <w:rPr/>
      </w:pPr>
      <w:r>
        <w:rPr/>
        <w:t xml:space="preserve">Background </w:t>
      </w:r>
    </w:p>
    <w:p>
      <w:pPr>
        <w:pStyle w:val="Normal"/>
        <w:jc w:val="both"/>
        <w:rPr/>
      </w:pPr>
      <w:r>
        <w:rPr/>
      </w:r>
    </w:p>
    <w:p>
      <w:pPr>
        <w:pStyle w:val="Normal"/>
        <w:jc w:val="both"/>
        <w:rPr/>
      </w:pPr>
      <w:r>
        <w:rPr>
          <w:sz w:val="24"/>
        </w:rPr>
        <w:tab/>
        <w:t xml:space="preserve">Typically, the act of providing electric service involves </w:t>
      </w:r>
      <w:r>
        <w:rPr>
          <w:bCs/>
          <w:sz w:val="24"/>
        </w:rPr>
        <w:t>generation</w:t>
      </w:r>
      <w:r>
        <w:rPr>
          <w:sz w:val="24"/>
        </w:rPr>
        <w:t xml:space="preserve"> of electric power by a central generating facility, </w:t>
      </w:r>
      <w:r>
        <w:rPr>
          <w:bCs/>
          <w:sz w:val="24"/>
        </w:rPr>
        <w:t>transmission</w:t>
      </w:r>
      <w:r>
        <w:rPr>
          <w:sz w:val="24"/>
        </w:rPr>
        <w:t xml:space="preserve"> of electricity along high-voltage wires to substations throughout a State or region, and </w:t>
      </w:r>
      <w:r>
        <w:rPr>
          <w:bCs/>
          <w:sz w:val="24"/>
        </w:rPr>
        <w:t>distribution</w:t>
      </w:r>
      <w:r>
        <w:rPr>
          <w:sz w:val="24"/>
        </w:rPr>
        <w:t xml:space="preserve"> of electricity from a substation along lower-voltage wires to an end-use consumer.  Both Federal and State laws govern the electric power industry.  According to CRS, the current State/Federal jurisdictional relationship with regard to electricity sales is that “the Federal Energy Regulatory Commission (FERC) regulates transmission access and the sale of wholesale electric energy in interstate commerce[; whereas . . .] states may regulate the retail sale of electricity within the state, including regulation of those facilities that distribute electric power.”  Both State and Federal laws govern corporate activity, while individual states are historically responsible for siting and construction of new transmission systems.  In addition, generally, Federal laws govern Federally-owned, investor-owned, and cooperatively-owned utilities; whereas State laws and local regulations govern municipally-owned utilities.  According to CRS, The evolution of the electric utility industry from one that was primarily local to one that is now largely interstate in nature has fueled the argument for expansive federal legislation.</w:t>
      </w:r>
    </w:p>
    <w:p>
      <w:pPr>
        <w:pStyle w:val="Normal"/>
        <w:jc w:val="both"/>
        <w:rPr/>
      </w:pPr>
      <w:r>
        <w:rPr>
          <w:sz w:val="24"/>
        </w:rPr>
        <w:t xml:space="preserve">     </w:t>
      </w:r>
      <w:r>
        <w:rPr>
          <w:color w:val="000000"/>
          <w:sz w:val="24"/>
        </w:rPr>
        <w:t xml:space="preserve"> </w:t>
      </w:r>
    </w:p>
    <w:p>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0" w:start="0"/>
        <w:jc w:val="both"/>
        <w:rPr/>
      </w:pPr>
      <w:r>
        <w:rPr/>
        <w:t>Federal Governance of Electricity</w:t>
      </w:r>
    </w:p>
    <w:p>
      <w:pPr>
        <w:pStyle w:val="Normal"/>
        <w:jc w:val="both"/>
        <w:rPr/>
      </w:pPr>
      <w:r>
        <w:rPr/>
      </w:r>
    </w:p>
    <w:p>
      <w:pPr>
        <w:pStyle w:val="BodyText2"/>
        <w:tabs>
          <w:tab w:val="clear" w:pos="0"/>
          <w:tab w:val="clear" w:pos="720"/>
          <w:tab w:val="clear" w:pos="1440"/>
          <w:tab w:val="clear" w:pos="2160"/>
          <w:tab w:val="clear" w:pos="2880"/>
          <w:tab w:val="clear" w:pos="3600"/>
          <w:tab w:val="clear" w:pos="4320"/>
          <w:tab w:val="clear" w:pos="5040"/>
          <w:tab w:val="clear" w:pos="6390"/>
          <w:tab w:val="clear" w:pos="7200"/>
          <w:tab w:val="clear" w:pos="7920"/>
          <w:tab w:val="clear" w:pos="8640"/>
          <w:tab w:val="clear" w:pos="9360"/>
          <w:tab w:val="left" w:pos="-1440" w:leader="none"/>
          <w:tab w:val="left" w:pos="-720" w:leader="none"/>
        </w:tabs>
        <w:jc w:val="both"/>
        <w:rPr/>
      </w:pPr>
      <w:r>
        <w:rPr/>
        <w:tab/>
        <w:t xml:space="preserve">The Federal Energy Regulatory Commission (FERC) has the principal functions at the federal level for the economic regulation of the electricity utility industry.  FERC describes their activities as follows: the Commission approves rates for wholesale electric sales of electricity and transmission in interstate commerce for private utilities, power marketers, power pools, power exchanges and independent system operators. The Commission acts under the legal authority of the Federal Power Act (FPA) of 1935, the Public Utility Regulatory Policies Act (PURPA), and the Energy Policy Act (EPAct). The Commission oversees the issuance of certain stock and debt securities, assumption of obligations and liabilities, and mergers. The Commission reviews the holding of officer and director positions between top officials in utilities and certain other firms they do business with. Finally, the Commission reviews rates set by the federal power marketing administrations, such as the Bonneville Power Administration, confers exempt wholesale generator status under the EPAct, and certifies qualifying small power production and cogeneration facilities.  Another Federal agency, the Securities and Exchange Commission (SEC) regulates utilities' corporate structure and business ventures under PUHCA. </w:t>
      </w:r>
    </w:p>
    <w:p>
      <w:pPr>
        <w:pStyle w:val="Normal"/>
        <w:ind w:firstLine="720" w:end="0"/>
        <w:jc w:val="both"/>
        <w:rPr/>
      </w:pPr>
      <w:r>
        <w:rPr>
          <w:sz w:val="24"/>
        </w:rPr>
        <w:t xml:space="preserve">FERC is an independent regulatory agency within the Department of Energy.  FERC was created through the </w:t>
      </w:r>
      <w:hyperlink r:id="rId2">
        <w:r>
          <w:rPr>
            <w:rStyle w:val="Hyperlink"/>
            <w:color w:val="000000"/>
            <w:sz w:val="24"/>
            <w:u w:val="none"/>
          </w:rPr>
          <w:t>Department of Energy Organization Act</w:t>
        </w:r>
      </w:hyperlink>
      <w:r>
        <w:rPr>
          <w:sz w:val="24"/>
        </w:rPr>
        <w:t xml:space="preserve"> in 1977. At that time, the Commission's predecessor, the Federal Power Commission (FPC), was abolished, and the new agency (FERC) inherited most of the FPC's responsibilities.  The Commission is composed of five members who are appointed by the President of the United States, with the advice and consent of the Senate. Commissioners serve five-year terms and have an equal vote on regulatory matters. No more than three members may belong to the same political party. One member is designated by the President to serve as Chair, and FERC's administrative head.  The Commission’s current membership consists of Pat Wood III (Chairman, Republican), William L. Massey (Democrat), Linda Key Breathitt (Democrat), and Nora Mead Brownell (Republican).  A fifth Commissioner has yet to be appointed.</w:t>
      </w:r>
    </w:p>
    <w:p>
      <w:pPr>
        <w:pStyle w:val="Normal"/>
        <w:jc w:val="both"/>
        <w:rPr>
          <w:sz w:val="24"/>
        </w:rPr>
      </w:pPr>
      <w:r>
        <w:rPr>
          <w:sz w:val="24"/>
        </w:rPr>
        <w:t xml:space="preserve"> </w:t>
      </w:r>
    </w:p>
    <w:p>
      <w:pPr>
        <w:pStyle w:val="Normal"/>
        <w:jc w:val="both"/>
        <w:rPr/>
      </w:pPr>
      <w:r>
        <w:rPr>
          <w:sz w:val="24"/>
        </w:rPr>
        <w:tab/>
      </w:r>
      <w:r>
        <w:rPr>
          <w:sz w:val="24"/>
        </w:rPr>
        <w:t xml:space="preserve">With the passage of EPAct and through regulatory reform, the FERC has promoted the development of competitive wholesale power markets and opening the transmission system to all qualified users.  </w:t>
      </w:r>
      <w:r>
        <w:rPr>
          <w:sz w:val="24"/>
        </w:rPr>
        <w:t xml:space="preserve">In 1996, FERC issued Orders 888 and 889 designed to remedy discrimination in transmission services in interstate commerce and provide an orderly and fair transition to competitive bulk power markets.  These orders were challenged in court by a number of industry participants; and this fall, the U.S. Supreme Court at last rule on two such challenges to Order 888.  </w:t>
      </w:r>
      <w:r>
        <w:rPr>
          <w:sz w:val="24"/>
        </w:rPr>
        <w:t xml:space="preserve">In December 1999, FERC issued Order 2000 calling for electric utilities to </w:t>
      </w:r>
      <w:r>
        <w:rPr>
          <w:sz w:val="24"/>
        </w:rPr>
        <w:t xml:space="preserve">voluntarily </w:t>
      </w:r>
      <w:r>
        <w:rPr>
          <w:sz w:val="24"/>
        </w:rPr>
        <w:t>form regional transmission organizations (RTOs) that will operate, control, and possibly own the Nation’s power transmission system. According to FERC, the potential benefits of RTOs are the elimination of discriminatory behavior in using the transmission system, improved operating efficiency, and increased reliability of the power system.</w:t>
      </w:r>
      <w:r>
        <w:rPr>
          <w:sz w:val="24"/>
        </w:rPr>
        <w:t xml:space="preserve">  In July of 2001, FERC issued several orders outlining FERC’s preference that the Nation’s grid be organized into four large RTOs.</w:t>
      </w:r>
    </w:p>
    <w:p>
      <w:pPr>
        <w:pStyle w:val="Normal"/>
        <w:jc w:val="both"/>
        <w:rPr>
          <w:sz w:val="24"/>
        </w:rPr>
      </w:pPr>
      <w:r>
        <w:rPr>
          <w:sz w:val="24"/>
        </w:rPr>
      </w:r>
    </w:p>
    <w:p>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0" w:start="0"/>
        <w:jc w:val="both"/>
        <w:rPr/>
      </w:pPr>
      <w:r>
        <w:rPr/>
        <w:t>Administration Views</w:t>
      </w:r>
    </w:p>
    <w:p>
      <w:pPr>
        <w:pStyle w:val="Normal"/>
        <w:jc w:val="both"/>
        <w:rPr/>
      </w:pPr>
      <w:r>
        <w:rPr/>
      </w:r>
    </w:p>
    <w:p>
      <w:pPr>
        <w:pStyle w:val="NormalWeb"/>
        <w:ind w:firstLine="720" w:end="0"/>
        <w:jc w:val="both"/>
        <w:rPr/>
      </w:pPr>
      <w:r>
        <w:rPr>
          <w:rFonts w:cs="Times New Roman" w:ascii="Times New Roman" w:hAnsi="Times New Roman"/>
          <w:color w:val="000000"/>
        </w:rPr>
        <w:t xml:space="preserve">On May 17, 2001, Vice President Cheney and the National Energy Policy  Development Group (NEPD Group), issued their report, titled </w:t>
      </w:r>
      <w:hyperlink r:id="rId3">
        <w:r>
          <w:rPr>
            <w:rStyle w:val="Hyperlink"/>
            <w:rFonts w:cs="Times New Roman" w:ascii="Times New Roman" w:hAnsi="Times New Roman"/>
            <w:color w:val="000000"/>
          </w:rPr>
          <w:t>National Energy Policy</w:t>
        </w:r>
      </w:hyperlink>
      <w:r>
        <w:rPr>
          <w:rFonts w:cs="Times New Roman" w:ascii="Times New Roman" w:hAnsi="Times New Roman"/>
          <w:color w:val="000000"/>
        </w:rPr>
        <w:t>. The report makes recommendations on electricity restructuring policy as well as on generation and transmission infrastructure. The plan includes the following recommendations for the electric utility sector:  Comprehensive electricity legislation should be introduced that, "promotes competition, protects consumers, enhances reliability, improves efficiency, promotes renewable energy, repeals the Public Utility Holding Company Act, and reforms the Public Utility Regulatory Policies Act.”  The Secretary of Energy should work with FERC to enhance reliability the transmission grid and to develop reliability legislation to create a self-regulatory organization subject to FERC oversight.  Finally, legislation should be introduced that would extend federal authority to obtain rights-of-way for electricity transmission lines.</w:t>
      </w:r>
    </w:p>
    <w:p>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0" w:start="0"/>
        <w:jc w:val="both"/>
        <w:rPr>
          <w:bCs/>
        </w:rPr>
      </w:pPr>
      <w:r>
        <w:rPr>
          <w:bCs/>
        </w:rPr>
        <w:t>Conclusion</w:t>
      </w:r>
    </w:p>
    <w:p>
      <w:pPr>
        <w:pStyle w:val="Normal"/>
        <w:jc w:val="both"/>
        <w:rPr>
          <w:bCs/>
        </w:rPr>
      </w:pPr>
      <w:r>
        <w:rPr>
          <w:bCs/>
        </w:rPr>
      </w:r>
    </w:p>
    <w:p>
      <w:pPr>
        <w:pStyle w:val="Normal"/>
        <w:ind w:firstLine="720" w:end="0"/>
        <w:jc w:val="both"/>
        <w:rPr>
          <w:sz w:val="24"/>
        </w:rPr>
      </w:pPr>
      <w:r>
        <w:rPr>
          <w:sz w:val="24"/>
        </w:rPr>
        <w:t>The Subcommittee on Energy and Air Quality of the Energy and Commerce Committee has jurisdiction over interstate commerce in electricity. This hearing will provide Members an opportunity to hear from the Administration and Federal regulators on recent and proposed actions with regard to the electric power industry.  If you have questions about this hearing, please call Andy Black or Jason Bentley at 5-2927.</w:t>
      </w:r>
    </w:p>
    <w:sectPr>
      <w:headerReference w:type="default" r:id="rId4"/>
      <w:headerReference w:type="first" r:id="rId5"/>
      <w:footerReference w:type="default" r:id="rId6"/>
      <w:footerReference w:type="first" r:id="rId7"/>
      <w:type w:val="nextPage"/>
      <w:pgSz w:w="12240" w:h="15840"/>
      <w:pgMar w:left="1440" w:right="1440" w:gutter="0" w:header="1440" w:top="1496" w:footer="86"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TUR">
    <w:altName w:val="Times New Roman"/>
    <w:charset w:val="00" w:characterSet="windows-1252"/>
    <w:family w:val="roman"/>
    <w:pitch w:val="default"/>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firstLine="360" w:end="0"/>
      <w:rPr/>
    </w:pPr>
    <w:r>
      <w:rPr/>
    </w:r>
    <w:r>
      <mc:AlternateContent>
        <mc:Choice Requires="wps">
          <w:drawing>
            <wp:anchor behindDoc="0" distT="0" distB="0" distL="0" distR="0" simplePos="0" locked="0" layoutInCell="0" allowOverlap="1" relativeHeight="6">
              <wp:simplePos x="0" y="0"/>
              <wp:positionH relativeFrom="margin">
                <wp:align>left</wp:align>
              </wp:positionH>
              <wp:positionV relativeFrom="paragraph">
                <wp:posOffset>635</wp:posOffset>
              </wp:positionV>
              <wp:extent cx="5943600" cy="354330"/>
              <wp:effectExtent l="0" t="0" r="0" b="0"/>
              <wp:wrapSquare wrapText="bothSides"/>
              <wp:docPr id="1" name="Frame3"/>
              <a:graphic xmlns:a="http://schemas.openxmlformats.org/drawingml/2006/main">
                <a:graphicData uri="http://schemas.microsoft.com/office/word/2010/wordprocessingShape">
                  <wps:wsp>
                    <wps:cNvSpPr txBox="1"/>
                    <wps:spPr>
                      <a:xfrm>
                        <a:off x="0" y="0"/>
                        <a:ext cx="5943600" cy="354330"/>
                      </a:xfrm>
                      <a:prstGeom prst="rect"/>
                      <a:solidFill>
                        <a:srgbClr val="FFFFFF">
                          <a:alpha val="0"/>
                        </a:srgbClr>
                      </a:solidFill>
                    </wps:spPr>
                    <wps:txbx>
                      <w:txbxContent>
                        <w:p>
                          <w:pPr>
                            <w:pStyle w:val="Header"/>
                            <w:rPr>
                              <w:rStyle w:val="PageNumber"/>
                              <w:sz w:val="24"/>
                            </w:rPr>
                          </w:pPr>
                          <w:r>
                            <w:rPr>
                              <w:rStyle w:val="PageNumbe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p>
                          <w:pPr>
                            <w:pStyle w:val="Header"/>
                            <w:rPr>
                              <w:rStyle w:val="PageNumber"/>
                              <w:rFonts w:ascii="CG Times" w:hAnsi="CG Times" w:cs="CG Times"/>
                              <w:sz w:val="24"/>
                            </w:rPr>
                          </w:pPr>
                          <w:r>
                            <w:rPr/>
                          </w:r>
                        </w:p>
                      </w:txbxContent>
                    </wps:txbx>
                    <wps:bodyPr anchor="t" lIns="0" tIns="0" rIns="0" bIns="0">
                      <a:noAutofit/>
                    </wps:bodyPr>
                  </wps:wsp>
                </a:graphicData>
              </a:graphic>
            </wp:anchor>
          </w:drawing>
        </mc:Choice>
        <mc:Fallback>
          <w:pict>
            <v:rect fillcolor="#FFFFFF" style="position:absolute;rotation:-0;width:468pt;height:27.9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Header"/>
                      <w:rPr>
                        <w:rStyle w:val="PageNumber"/>
                        <w:sz w:val="24"/>
                      </w:rPr>
                    </w:pPr>
                    <w:r>
                      <w:rPr>
                        <w:rStyle w:val="PageNumbe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p>
                    <w:pPr>
                      <w:pStyle w:val="Header"/>
                      <w:rPr>
                        <w:rStyle w:val="PageNumber"/>
                        <w:rFonts w:ascii="CG Times" w:hAnsi="CG Times" w:cs="CG Times"/>
                        <w:sz w:val="24"/>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numPr>
        <w:ilvl w:val="0"/>
        <w:numId w:val="1"/>
      </w:numPr>
      <w:jc w:val="both"/>
      <w:outlineLvl w:val="0"/>
    </w:pPr>
    <w:rPr>
      <w:rFonts w:ascii="Times New Roman TUR;Times New Roman" w:hAnsi="Times New Roman TUR;Times New Roman" w:cs="Times New Roman TUR;Times New Roman"/>
      <w:b/>
      <w:bCs/>
      <w:sz w:val="24"/>
      <w:u w:val="single"/>
    </w:rPr>
  </w:style>
  <w:style w:type="paragraph" w:styleId="Heading2">
    <w:name w:val="heading 2"/>
    <w:basedOn w:val="Normal"/>
    <w:next w:val="Normal"/>
    <w:qFormat/>
    <w:pPr>
      <w:numPr>
        <w:ilvl w:val="1"/>
        <w:numId w:val="1"/>
      </w:numPr>
      <w:ind w:firstLine="720" w:start="0" w:end="0"/>
      <w:jc w:val="both"/>
      <w:outlineLvl w:val="1"/>
    </w:pPr>
    <w:rPr>
      <w:rFonts w:ascii="Times New Roman TUR;Times New Roman" w:hAnsi="Times New Roman TUR;Times New Roman" w:cs="Times New Roman TUR;Times New Roman"/>
      <w:b/>
      <w:bCs/>
      <w:sz w:val="24"/>
      <w:u w:val="single"/>
    </w:rPr>
  </w:style>
  <w:style w:type="paragraph" w:styleId="Heading3">
    <w:name w:val="heading 3"/>
    <w:basedOn w:val="Normal"/>
    <w:next w:val="Normal"/>
    <w:qFormat/>
    <w:pPr>
      <w:keepNext w:val="true"/>
      <w:widowControl/>
      <w:numPr>
        <w:ilvl w:val="2"/>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6390" w:leader="none"/>
        <w:tab w:val="left" w:pos="7200" w:leader="none"/>
        <w:tab w:val="left" w:pos="7920" w:leader="none"/>
        <w:tab w:val="left" w:pos="8640" w:leader="none"/>
        <w:tab w:val="left" w:pos="9360" w:leader="none"/>
      </w:tabs>
      <w:jc w:val="both"/>
      <w:outlineLvl w:val="2"/>
    </w:pPr>
    <w:rPr>
      <w:sz w:val="24"/>
      <w:u w:val="single"/>
    </w:rPr>
  </w:style>
  <w:style w:type="paragraph" w:styleId="Heading4">
    <w:name w:val="heading 4"/>
    <w:basedOn w:val="Normal"/>
    <w:next w:val="Normal"/>
    <w:qFormat/>
    <w:pPr>
      <w:keepNext w:val="true"/>
      <w:numPr>
        <w:ilvl w:val="3"/>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6390" w:leader="none"/>
        <w:tab w:val="left" w:pos="7200" w:leader="none"/>
        <w:tab w:val="left" w:pos="7920" w:leader="none"/>
        <w:tab w:val="left" w:pos="8640" w:leader="none"/>
        <w:tab w:val="left" w:pos="9360" w:leader="none"/>
      </w:tabs>
      <w:jc w:val="center"/>
      <w:outlineLvl w:val="3"/>
    </w:pPr>
    <w:rPr>
      <w:rFonts w:ascii="CG Times" w:hAnsi="CG Times" w:cs="CG Times"/>
      <w:b/>
      <w:bCs/>
      <w:sz w:val="24"/>
      <w:u w:val="single"/>
    </w:rPr>
  </w:style>
  <w:style w:type="paragraph" w:styleId="Heading5">
    <w:name w:val="heading 5"/>
    <w:basedOn w:val="Normal"/>
    <w:next w:val="Normal"/>
    <w:qFormat/>
    <w:pPr>
      <w:keepNext w:val="true"/>
      <w:widowControl/>
      <w:numPr>
        <w:ilvl w:val="4"/>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6390" w:leader="none"/>
        <w:tab w:val="left" w:pos="7200" w:leader="none"/>
        <w:tab w:val="left" w:pos="7920" w:leader="none"/>
        <w:tab w:val="left" w:pos="8640" w:leader="none"/>
        <w:tab w:val="left" w:pos="9360" w:leader="none"/>
      </w:tabs>
      <w:outlineLvl w:val="4"/>
    </w:pPr>
    <w:rPr>
      <w:u w:val="single"/>
    </w:rPr>
  </w:style>
  <w:style w:type="paragraph" w:styleId="Heading6">
    <w:name w:val="heading 6"/>
    <w:basedOn w:val="Normal"/>
    <w:next w:val="Normal"/>
    <w:qFormat/>
    <w:pPr>
      <w:keepNext w:val="true"/>
      <w:numPr>
        <w:ilvl w:val="5"/>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5"/>
    </w:pPr>
    <w:rPr>
      <w:rFonts w:ascii="CG Times" w:hAnsi="CG Times" w:cs="CG Times"/>
      <w:b/>
      <w:bCs/>
      <w:sz w:val="24"/>
      <w:u w:val="single"/>
    </w:rPr>
  </w:style>
  <w:style w:type="paragraph" w:styleId="Heading7">
    <w:name w:val="heading 7"/>
    <w:basedOn w:val="Normal"/>
    <w:next w:val="Normal"/>
    <w:qFormat/>
    <w:pPr>
      <w:keepNext w:val="true"/>
      <w:numPr>
        <w:ilvl w:val="6"/>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6"/>
    </w:pPr>
    <w:rPr>
      <w:sz w:val="24"/>
      <w:u w:val="single"/>
    </w:rPr>
  </w:style>
  <w:style w:type="paragraph" w:styleId="Heading8">
    <w:name w:val="heading 8"/>
    <w:basedOn w:val="Normal"/>
    <w:next w:val="Normal"/>
    <w:qFormat/>
    <w:pPr>
      <w:keepNext w:val="true"/>
      <w:widowControl/>
      <w:numPr>
        <w:ilvl w:val="7"/>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6390" w:leader="none"/>
        <w:tab w:val="left" w:pos="7200" w:leader="none"/>
        <w:tab w:val="left" w:pos="7920" w:leader="none"/>
        <w:tab w:val="left" w:pos="8640" w:leader="none"/>
        <w:tab w:val="left" w:pos="9360" w:leader="none"/>
      </w:tabs>
      <w:jc w:val="center"/>
      <w:outlineLvl w:val="7"/>
    </w:pPr>
    <w:rPr>
      <w:sz w:val="24"/>
    </w:rPr>
  </w:style>
  <w:style w:type="paragraph" w:styleId="Heading9">
    <w:name w:val="heading 9"/>
    <w:basedOn w:val="Normal"/>
    <w:next w:val="Normal"/>
    <w:qFormat/>
    <w:pPr>
      <w:keepNext w:val="true"/>
      <w:widowControl/>
      <w:numPr>
        <w:ilvl w:val="8"/>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6390" w:leader="none"/>
        <w:tab w:val="left" w:pos="7200" w:leader="none"/>
        <w:tab w:val="left" w:pos="7920" w:leader="none"/>
        <w:tab w:val="left" w:pos="8640" w:leader="none"/>
        <w:tab w:val="left" w:pos="9360" w:leader="none"/>
      </w:tabs>
      <w:outlineLvl w:val="8"/>
    </w:pPr>
    <w:rPr>
      <w:color w:val="000000"/>
      <w:sz w:val="24"/>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TUR;Times New Roman" w:hAnsi="Times New Roman TUR;Times New Roman" w:cs="Times New Roman TUR;Times New Roman"/>
      <w:b/>
      <w:bC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widowControl/>
      <w:autoSpaceDE w:val="true"/>
      <w:spacing w:before="100" w:after="100"/>
    </w:pPr>
    <w:rPr>
      <w:rFonts w:ascii="Arial Unicode MS" w:hAnsi="Arial Unicode MS" w:eastAsia="Arial Unicode MS" w:cs="Arial Unicode MS"/>
      <w:color w:val="000066"/>
      <w:sz w:val="24"/>
    </w:rPr>
  </w:style>
  <w:style w:type="paragraph" w:styleId="FootnoteText">
    <w:name w:val="footnote text"/>
    <w:basedOn w:val="Normal"/>
    <w:pPr/>
    <w:rPr>
      <w:szCs w:val="20"/>
    </w:rPr>
  </w:style>
  <w:style w:type="paragraph" w:styleId="BodyText2">
    <w:name w:val="Body Text 2"/>
    <w:basedOn w:val="Normal"/>
    <w:qFormat/>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6390" w:leader="none"/>
        <w:tab w:val="left" w:pos="7200" w:leader="none"/>
        <w:tab w:val="left" w:pos="7920" w:leader="none"/>
        <w:tab w:val="left" w:pos="8640" w:leader="none"/>
        <w:tab w:val="left" w:pos="9360" w:leader="none"/>
      </w:tabs>
    </w:pPr>
    <w:rPr>
      <w:sz w:val="24"/>
    </w:rPr>
  </w:style>
  <w:style w:type="paragraph" w:styleId="BodyTextIndent">
    <w:name w:val="Body Text Inden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6390" w:leader="none"/>
        <w:tab w:val="left" w:pos="7200" w:leader="none"/>
        <w:tab w:val="left" w:pos="7920" w:leader="none"/>
        <w:tab w:val="left" w:pos="8640" w:leader="none"/>
        <w:tab w:val="left" w:pos="9360" w:leader="none"/>
      </w:tabs>
      <w:ind w:firstLine="720" w:start="0" w:end="0"/>
    </w:pPr>
    <w:rPr>
      <w:color w:val="00000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erc.gov/informational/acts/doeact.htm" TargetMode="External"/><Relationship Id="rId3" Type="http://schemas.openxmlformats.org/officeDocument/2006/relationships/hyperlink" Target="http://www.whitehouse.gov/energy/"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2001-09-19T11:45:00Z</dcterms:created>
  <dc:creator>Andy Black</dc:creator>
  <dc:description/>
  <dc:language>en-CA</dc:language>
  <cp:lastModifiedBy>pkielty</cp:lastModifiedBy>
  <cp:lastPrinted>2001-09-19T10:25:00Z</cp:lastPrinted>
  <dcterms:modified xsi:type="dcterms:W3CDTF">2001-09-19T12:17:00Z</dcterms:modified>
  <cp:revision>6</cp:revision>
  <dc:subject/>
  <dc:title> </dc:title>
</cp:coreProperties>
</file>