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986"/>
        <w:gridCol w:w="5310"/>
        <w:gridCol w:w="1447"/>
        <w:gridCol w:w="2965"/>
      </w:tblGrid>
      <w:tr>
        <w:trPr/>
        <w:tc>
          <w:tcPr>
            <w:tcW w:w="986" w:type="dxa"/>
            <w:tcBorders/>
          </w:tcPr>
          <w:p>
            <w:pPr>
              <w:pStyle w:val="Normal"/>
              <w:ind w:start="-180" w:end="0"/>
              <w:jc w:val="end"/>
              <w:rPr/>
            </w:pPr>
            <w:r>
              <w:rPr/>
              <w:t>To:</w:t>
            </w:r>
          </w:p>
        </w:tc>
        <w:tc>
          <w:tcPr>
            <w:tcW w:w="5310" w:type="dxa"/>
            <w:tcBorders/>
          </w:tcPr>
          <w:p>
            <w:pPr>
              <w:pStyle w:val="To"/>
              <w:rPr/>
            </w:pPr>
            <w:r>
              <w:rPr/>
              <w:t>Derek Davies</w:t>
            </w:r>
          </w:p>
        </w:tc>
        <w:tc>
          <w:tcPr>
            <w:tcW w:w="1447"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986" w:type="dxa"/>
            <w:tcBorders/>
          </w:tcPr>
          <w:p>
            <w:pPr>
              <w:pStyle w:val="Normal"/>
              <w:snapToGrid w:val="false"/>
              <w:ind w:start="-180" w:end="0"/>
              <w:jc w:val="end"/>
              <w:rPr/>
            </w:pPr>
            <w:r>
              <w:rPr/>
            </w:r>
          </w:p>
        </w:tc>
        <w:tc>
          <w:tcPr>
            <w:tcW w:w="5310" w:type="dxa"/>
            <w:tcBorders/>
          </w:tcPr>
          <w:p>
            <w:pPr>
              <w:pStyle w:val="Normal"/>
              <w:snapToGrid w:val="false"/>
              <w:rPr/>
            </w:pPr>
            <w:r>
              <w:rPr/>
            </w:r>
          </w:p>
        </w:tc>
        <w:tc>
          <w:tcPr>
            <w:tcW w:w="1447"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986" w:type="dxa"/>
            <w:tcBorders/>
          </w:tcPr>
          <w:p>
            <w:pPr>
              <w:pStyle w:val="Normal"/>
              <w:ind w:start="-180" w:end="0"/>
              <w:jc w:val="end"/>
              <w:rPr/>
            </w:pPr>
            <w:r>
              <w:rPr/>
              <w:t>c:</w:t>
            </w:r>
          </w:p>
        </w:tc>
        <w:tc>
          <w:tcPr>
            <w:tcW w:w="5310" w:type="dxa"/>
            <w:tcBorders/>
          </w:tcPr>
          <w:p>
            <w:pPr>
              <w:pStyle w:val="Normal"/>
              <w:rPr/>
            </w:pPr>
            <w:r>
              <w:rPr/>
              <w:t>Rob Milnthorp</w:t>
            </w:r>
          </w:p>
          <w:p>
            <w:pPr>
              <w:pStyle w:val="Normal"/>
              <w:rPr/>
            </w:pPr>
            <w:r>
              <w:rPr/>
              <w:t>John Lavorato</w:t>
            </w:r>
          </w:p>
          <w:p>
            <w:pPr>
              <w:pStyle w:val="Normal"/>
              <w:rPr/>
            </w:pPr>
            <w:r>
              <w:rPr/>
              <w:t>John Zufferli</w:t>
            </w:r>
          </w:p>
          <w:p>
            <w:pPr>
              <w:pStyle w:val="Normal"/>
              <w:rPr/>
            </w:pPr>
            <w:r>
              <w:rPr/>
              <w:t>André Templeman</w:t>
            </w:r>
          </w:p>
          <w:p>
            <w:pPr>
              <w:pStyle w:val="Normal"/>
              <w:rPr/>
            </w:pPr>
            <w:r>
              <w:rPr/>
              <w:t>Rob Hemstock</w:t>
            </w:r>
          </w:p>
        </w:tc>
        <w:tc>
          <w:tcPr>
            <w:tcW w:w="1447"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986" w:type="dxa"/>
            <w:tcBorders/>
          </w:tcPr>
          <w:p>
            <w:pPr>
              <w:pStyle w:val="Normal"/>
              <w:snapToGrid w:val="false"/>
              <w:ind w:start="-180" w:end="0"/>
              <w:jc w:val="end"/>
              <w:rPr/>
            </w:pPr>
            <w:r>
              <w:rPr/>
            </w:r>
          </w:p>
        </w:tc>
        <w:tc>
          <w:tcPr>
            <w:tcW w:w="5310" w:type="dxa"/>
            <w:tcBorders/>
          </w:tcPr>
          <w:p>
            <w:pPr>
              <w:pStyle w:val="Normal"/>
              <w:snapToGrid w:val="false"/>
              <w:rPr/>
            </w:pPr>
            <w:r>
              <w:rPr/>
            </w:r>
          </w:p>
        </w:tc>
        <w:tc>
          <w:tcPr>
            <w:tcW w:w="1447"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986" w:type="dxa"/>
            <w:tcBorders/>
          </w:tcPr>
          <w:p>
            <w:pPr>
              <w:pStyle w:val="Normal"/>
              <w:ind w:start="-180" w:end="0"/>
              <w:jc w:val="end"/>
              <w:rPr/>
            </w:pPr>
            <w:r>
              <w:rPr/>
              <w:t>From:</w:t>
            </w:r>
          </w:p>
        </w:tc>
        <w:tc>
          <w:tcPr>
            <w:tcW w:w="5310" w:type="dxa"/>
            <w:tcBorders/>
          </w:tcPr>
          <w:p>
            <w:pPr>
              <w:pStyle w:val="From"/>
              <w:rPr/>
            </w:pPr>
            <w:r>
              <w:rPr/>
              <w:t>Peter Keohane</w:t>
            </w:r>
          </w:p>
        </w:tc>
        <w:tc>
          <w:tcPr>
            <w:tcW w:w="1447" w:type="dxa"/>
            <w:tcBorders/>
          </w:tcPr>
          <w:p>
            <w:pPr>
              <w:pStyle w:val="Normal"/>
              <w:ind w:start="-180" w:end="0"/>
              <w:jc w:val="end"/>
              <w:rPr/>
            </w:pPr>
            <w:r>
              <w:rPr/>
              <w:t>Department:</w:t>
            </w:r>
          </w:p>
        </w:tc>
        <w:tc>
          <w:tcPr>
            <w:tcW w:w="2965" w:type="dxa"/>
            <w:tcBorders/>
          </w:tcPr>
          <w:p>
            <w:pPr>
              <w:pStyle w:val="Department"/>
              <w:rPr/>
            </w:pPr>
            <w:bookmarkStart w:id="0" w:name="From"/>
            <w:bookmarkEnd w:id="0"/>
            <w:r>
              <w:rPr/>
              <w:t>Legal</w:t>
            </w:r>
          </w:p>
        </w:tc>
      </w:tr>
      <w:tr>
        <w:trPr/>
        <w:tc>
          <w:tcPr>
            <w:tcW w:w="986" w:type="dxa"/>
            <w:tcBorders/>
          </w:tcPr>
          <w:p>
            <w:pPr>
              <w:pStyle w:val="Normal"/>
              <w:snapToGrid w:val="false"/>
              <w:ind w:start="-180" w:end="0"/>
              <w:jc w:val="end"/>
              <w:rPr/>
            </w:pPr>
            <w:r>
              <w:rPr/>
            </w:r>
          </w:p>
        </w:tc>
        <w:tc>
          <w:tcPr>
            <w:tcW w:w="5310" w:type="dxa"/>
            <w:tcBorders/>
          </w:tcPr>
          <w:p>
            <w:pPr>
              <w:pStyle w:val="Normal"/>
              <w:snapToGrid w:val="false"/>
              <w:rPr/>
            </w:pPr>
            <w:r>
              <w:rPr/>
            </w:r>
          </w:p>
        </w:tc>
        <w:tc>
          <w:tcPr>
            <w:tcW w:w="1447"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986" w:type="dxa"/>
            <w:tcBorders>
              <w:bottom w:val="single" w:sz="12" w:space="0" w:color="000000"/>
            </w:tcBorders>
          </w:tcPr>
          <w:p>
            <w:pPr>
              <w:pStyle w:val="Normal"/>
              <w:ind w:start="-180" w:end="0"/>
              <w:jc w:val="end"/>
              <w:rPr/>
            </w:pPr>
            <w:r>
              <w:rPr/>
              <w:t>Subject:</w:t>
            </w:r>
          </w:p>
        </w:tc>
        <w:tc>
          <w:tcPr>
            <w:tcW w:w="5310" w:type="dxa"/>
            <w:tcBorders>
              <w:bottom w:val="single" w:sz="12" w:space="0" w:color="000000"/>
            </w:tcBorders>
          </w:tcPr>
          <w:p>
            <w:pPr>
              <w:pStyle w:val="Subject"/>
              <w:rPr/>
            </w:pPr>
            <w:r>
              <w:rPr/>
              <w:t>Sundance “B” PPA – Clover Bar Dispatch</w:t>
            </w:r>
          </w:p>
        </w:tc>
        <w:tc>
          <w:tcPr>
            <w:tcW w:w="1447" w:type="dxa"/>
            <w:tcBorders>
              <w:bottom w:val="single" w:sz="12" w:space="0" w:color="000000"/>
            </w:tcBorders>
          </w:tcPr>
          <w:p>
            <w:pPr>
              <w:pStyle w:val="Normal"/>
              <w:ind w:start="-180" w:end="0"/>
              <w:jc w:val="end"/>
              <w:rPr/>
            </w:pPr>
            <w:r>
              <w:rPr/>
              <w:t>Date:</w:t>
            </w:r>
          </w:p>
        </w:tc>
        <w:tc>
          <w:tcPr>
            <w:tcW w:w="2965" w:type="dxa"/>
            <w:tcBorders>
              <w:bottom w:val="single" w:sz="12" w:space="0" w:color="000000"/>
            </w:tcBorders>
          </w:tcPr>
          <w:p>
            <w:pPr>
              <w:pStyle w:val="Date"/>
              <w:rPr/>
            </w:pPr>
            <w:r>
              <w:rPr/>
              <w:t>January 12, 2001</w:t>
            </w:r>
          </w:p>
        </w:tc>
      </w:tr>
    </w:tbl>
    <w:p>
      <w:pPr>
        <w:pStyle w:val="BodyText"/>
        <w:rPr/>
      </w:pPr>
      <w:r>
        <w:rPr/>
      </w:r>
      <w:bookmarkStart w:id="1" w:name="StartOfMemo"/>
      <w:bookmarkStart w:id="2" w:name="StartOfMemo"/>
      <w:bookmarkEnd w:id="2"/>
    </w:p>
    <w:p>
      <w:pPr>
        <w:pStyle w:val="BodyText"/>
        <w:rPr/>
      </w:pPr>
      <w:r>
        <w:rPr/>
        <w:t>Derek,</w:t>
      </w:r>
    </w:p>
    <w:p>
      <w:pPr>
        <w:pStyle w:val="BodyText"/>
        <w:rPr/>
      </w:pPr>
      <w:r>
        <w:rPr/>
      </w:r>
    </w:p>
    <w:p>
      <w:pPr>
        <w:pStyle w:val="BodyText"/>
        <w:rPr/>
      </w:pPr>
      <w:r>
        <w:rPr/>
        <w:t>Further to our conversations with respect to our recourse as a result of the Balancing Pool dispatching the PPA for the Clover Bar Unit below the actual (or spot price) heat rate, I believe you have the following avenues of recourse:</w:t>
      </w:r>
    </w:p>
    <w:p>
      <w:pPr>
        <w:pStyle w:val="BodyText"/>
        <w:rPr/>
      </w:pPr>
      <w:r>
        <w:rPr/>
      </w:r>
    </w:p>
    <w:p>
      <w:pPr>
        <w:pStyle w:val="Sharon1"/>
        <w:numPr>
          <w:ilvl w:val="0"/>
          <w:numId w:val="2"/>
        </w:numPr>
        <w:ind w:hanging="0" w:start="0"/>
        <w:rPr/>
      </w:pPr>
      <w:r>
        <w:rPr>
          <w:u w:val="single"/>
        </w:rPr>
        <w:t>Report the Balancing Pool to the Market Surveillance Administrator</w:t>
      </w:r>
      <w:r>
        <w:rPr/>
        <w:t>.</w:t>
      </w:r>
    </w:p>
    <w:p>
      <w:pPr>
        <w:pStyle w:val="Sharon1"/>
        <w:numPr>
          <w:ilvl w:val="0"/>
          <w:numId w:val="0"/>
        </w:numPr>
        <w:ind w:hanging="0" w:start="720" w:end="0"/>
        <w:rPr/>
      </w:pPr>
      <w:r>
        <w:rPr/>
        <w:t>Enron Canada Power Corp. (or a coalition of market participants, including Enron Canada Power Corp.) could make a complaint under Section 4 of the Market Surveillance Regulation to the Market Surveillance Administrator on the basis that Clover Bar is being dispatched by the Balancing Pool, as an exercise of market power in order to suppress power Pool Prices.  The complaint or referral to the Market Surveillance Administrator must be in writing and must include:  the name and address of the person or body making the complaint or referral; the particulars of the complaint or referral; and any information or facts supporting the complaint or referral.  In this latter regard, we would need to have the facts and circumstances regarding the dispatch of the Clover Bar Unit by the Balancing Pool, including the hours for which Clover Bar set the Pool Price, supply/demand shortage for the applicable hours, and the implied heat rate at which the Pool Price was being set.  We would also want to refer to the mandate of the Balancing Pool under the Balancing Pool Regulation, which is to manage its investments, including the unsold PPAs (including the Clover Bar PPA), prudently, and not for the purposes of manipulating the Pool Price.  We may also want to refer to the “no harm commitment” as part of the particulars for our complaint.</w:t>
      </w:r>
    </w:p>
    <w:p>
      <w:pPr>
        <w:pStyle w:val="Sharon1"/>
        <w:numPr>
          <w:ilvl w:val="0"/>
          <w:numId w:val="2"/>
        </w:numPr>
        <w:ind w:hanging="0" w:start="0"/>
        <w:rPr/>
      </w:pPr>
      <w:r>
        <w:rPr>
          <w:u w:val="single"/>
        </w:rPr>
        <w:t>Dispatching Sundance as Clover Bar</w:t>
      </w:r>
      <w:r>
        <w:rPr/>
        <w:t>.</w:t>
      </w:r>
    </w:p>
    <w:p>
      <w:pPr>
        <w:pStyle w:val="Sharon1"/>
        <w:numPr>
          <w:ilvl w:val="0"/>
          <w:numId w:val="0"/>
        </w:numPr>
        <w:ind w:hanging="0" w:start="720" w:end="0"/>
        <w:rPr/>
      </w:pPr>
      <w:r>
        <w:rPr/>
        <w:t>As we discussed, an alternate or concurrent strategy could be to dispatch Sundance based on the heat rate economics of Clover Bar if Clover Bar was being dispatched properly by the Balancing Pool.  In other words, for those hours where Clover Bar would set the Pool Price, we could consider dispatching the Sundance B PPA at the proper heat rate for, and the capacity of, Clover Bar.  I do not believe that there is any restriction on how or when we must dispatch the Sundance Units under the Sundance B PPA.  However, it is possible that this strategy could either attract the attention of the Market Surveillance Administrator as an abuse of market power through controlling the dispatch of Sundance B (although this should arguably be mitigated by the dispatch of Sundance only at the times, for the capacity and at the economics otherwise applicable to Clover Bar) and/or draw the attention of the Government to the fact that there is a significant amount of leverage to a PPA Owner in having unrestricted dispatch rights, which could attract further law/regulations/rules regulating the dispatch of the PPAs.  Further, as you have pointed out, this strategy may cost us money if the Merit Order does not go past the Clover Bar Unit, in which case, Enron Canada Power may owe availability incentive payments to TransAlta under the Sundance B PPA.</w:t>
      </w:r>
    </w:p>
    <w:p>
      <w:pPr>
        <w:pStyle w:val="Sharon1"/>
        <w:numPr>
          <w:ilvl w:val="0"/>
          <w:numId w:val="2"/>
        </w:numPr>
        <w:ind w:hanging="0" w:start="0"/>
        <w:rPr>
          <w:u w:val="single"/>
        </w:rPr>
      </w:pPr>
      <w:r>
        <w:rPr>
          <w:u w:val="single"/>
        </w:rPr>
        <w:t>No Harm Commitment.</w:t>
      </w:r>
    </w:p>
    <w:p>
      <w:pPr>
        <w:pStyle w:val="Sharon1"/>
        <w:numPr>
          <w:ilvl w:val="0"/>
          <w:numId w:val="0"/>
        </w:numPr>
        <w:ind w:hanging="0" w:start="720" w:end="0"/>
        <w:rPr/>
      </w:pPr>
      <w:r>
        <w:rPr/>
        <w:t>Another alternative is to seek to enforce the “no harm commitment”.  We have discussed this matter various times in the past, but it is specifically this type of conduct which I believe falls within the scope of the “no harm commitment”.  However, enforcing the “no harm commitment” would likely involve legal action against the Government for an injunction or order mandating that Clover Bar be dispatched on its economic terms, which is something we have been reluctant to pursue in the past.</w:t>
      </w:r>
    </w:p>
    <w:p>
      <w:pPr>
        <w:pStyle w:val="Sharon1"/>
        <w:numPr>
          <w:ilvl w:val="0"/>
          <w:numId w:val="0"/>
        </w:numPr>
        <w:ind w:hanging="0" w:start="0"/>
        <w:rPr/>
      </w:pPr>
      <w:r>
        <w:rPr/>
        <w:t>After you have considered the foregoing, perhaps we can discuss how you would like to proceed. As we have discussed, this should be a matter not only of significance to us but to other market participants, and any actions taken may be most effective if they have the involvement and support of other affected market participants.</w:t>
      </w:r>
    </w:p>
    <w:p>
      <w:pPr>
        <w:pStyle w:val="Sharon1"/>
        <w:numPr>
          <w:ilvl w:val="0"/>
          <w:numId w:val="0"/>
        </w:numPr>
        <w:ind w:hanging="0" w:start="0"/>
        <w:rPr/>
      </w:pPr>
      <w:r>
        <w:rPr/>
      </w:r>
    </w:p>
    <w:p>
      <w:pPr>
        <w:pStyle w:val="Sharon1"/>
        <w:numPr>
          <w:ilvl w:val="0"/>
          <w:numId w:val="0"/>
        </w:numPr>
        <w:ind w:hanging="0" w:start="0"/>
        <w:rPr/>
      </w:pPr>
      <w:r>
        <w:rPr/>
        <w:t>Regards,</w:t>
        <w:br/>
        <w:t>Peter</w:t>
      </w:r>
    </w:p>
    <w:p>
      <w:pPr>
        <w:pStyle w:val="Sharon1"/>
        <w:numPr>
          <w:ilvl w:val="0"/>
          <w:numId w:val="0"/>
        </w:numPr>
        <w:spacing w:before="0" w:after="240"/>
        <w:ind w:hanging="720" w:start="720" w:end="0"/>
        <w:rPr>
          <w:u w:val="single"/>
        </w:rPr>
      </w:pPr>
      <w:r>
        <w:rPr>
          <w:u w:val="single"/>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rPr>
    </w:pPr>
    <w:r>
      <w:rPr>
        <w:b/>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rFonts w:ascii="Arial Narrow" w:hAnsi="Arial Narrow" w:cs="Arial Narrow"/>
      </w:rPr>
    </w:pPr>
    <w:r>
      <w:rPr>
        <w:rFonts w:cs="Arial Narrow" w:ascii="Arial Narrow" w:hAnsi="Arial Narrow"/>
      </w:rPr>
      <w:fldChar w:fldCharType="begin"/>
    </w:r>
    <w:r>
      <w:rPr>
        <w:rFonts w:cs="Arial Narrow" w:ascii="Arial Narrow" w:hAnsi="Arial Narrow"/>
      </w:rPr>
      <w:instrText xml:space="preserve"> FILENAME \p </w:instrText>
    </w:r>
    <w:r>
      <w:rPr>
        <w:rFonts w:cs="Arial Narrow" w:ascii="Arial Narrow" w:hAnsi="Arial Narrow"/>
      </w:rPr>
      <w:fldChar w:fldCharType="separate"/>
    </w:r>
    <w:r>
      <w:rPr>
        <w:rFonts w:cs="Arial Narrow" w:ascii="Arial Narrow" w:hAnsi="Arial Narrow"/>
      </w:rPr>
      <w:t>/mnt/main-storage/datasets/enron-docs/doc/Mem.CloverbarPPA.doc</w:t>
    </w:r>
    <w:r>
      <w:rPr>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rPr>
    </w:pPr>
    <w:r>
      <w:rPr>
        <w:b/>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/mnt/main-storage/datasets/enron-docs/doc/Mem.CloverbarPPA.doc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r>
  </w:p>
  <w:p>
    <w:pPr>
      <w:pStyle w:val="Header"/>
      <w:pBdr>
        <w:top w:val="single" w:sz="4" w:space="1" w:color="000000"/>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720"/>
        </w:tabs>
        <w:ind w:start="720" w:hanging="720"/>
      </w:pPr>
      <w:rPr>
        <w:sz w:val="22"/>
        <w:u w:val="none"/>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000080"/>
      <w:sz w:val="22"/>
      <w:szCs w:val="20"/>
      <w:lang w:val="en-US" w:eastAsia="zh-CN" w:bidi="hi-IN"/>
    </w:rPr>
  </w:style>
  <w:style w:type="character" w:styleId="WW8Num1z0">
    <w:name w:val="WW8Num1z0"/>
    <w:qFormat/>
    <w:rPr>
      <w:rFonts w:ascii="Arial" w:hAnsi="Arial" w:cs="Arial"/>
      <w:sz w:val="22"/>
    </w:rPr>
  </w:style>
  <w:style w:type="character" w:styleId="WW8Num2z0">
    <w:name w:val="WW8Num2z0"/>
    <w:qFormat/>
    <w:rPr>
      <w:rFonts w:ascii="Arial" w:hAnsi="Arial" w:cs="Arial"/>
      <w:sz w:val="22"/>
      <w:u w:val="none"/>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rPr/>
  </w:style>
  <w:style w:type="paragraph" w:styleId="Department">
    <w:name w:val="Department"/>
    <w:basedOn w:val="Normal"/>
    <w:qFormat/>
    <w:pPr/>
    <w:rPr>
      <w:rFonts w:ascii="Arial" w:hAnsi="Arial" w:cs="Arial"/>
    </w:rPr>
  </w:style>
  <w:style w:type="paragraph" w:styleId="Sharon1">
    <w:name w:val="Sharon1"/>
    <w:basedOn w:val="Normal"/>
    <w:qFormat/>
    <w:pPr>
      <w:numPr>
        <w:ilvl w:val="0"/>
        <w:numId w:val="2"/>
      </w:numPr>
      <w:spacing w:before="0" w:after="240"/>
    </w:pPr>
    <w:rPr>
      <w:rFonts w:ascii="Arial" w:hAnsi="Arial" w:cs="Arial"/>
      <w:sz w:val="22"/>
    </w:rPr>
  </w:style>
  <w:style w:type="paragraph" w:styleId="Sharon2">
    <w:name w:val="Sharon2"/>
    <w:basedOn w:val="Normal"/>
    <w:qFormat/>
    <w:pPr>
      <w:numPr>
        <w:ilvl w:val="0"/>
        <w:numId w:val="1"/>
      </w:numPr>
      <w:spacing w:before="0" w:after="24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Memo.Legal.dot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2001-01-12T19:57:00Z</dcterms:created>
  <dc:creator>scrawfo3</dc:creator>
  <dc:description/>
  <dc:language>en-CA</dc:language>
  <cp:lastModifiedBy>scrawfo3</cp:lastModifiedBy>
  <cp:lastPrinted>2001-01-12T16:40:00Z</cp:lastPrinted>
  <dcterms:modified xsi:type="dcterms:W3CDTF">2001-01-12T21:10:00Z</dcterms:modified>
  <cp:revision>9</cp:revision>
  <dc:subject/>
  <dc:title> </dc:title>
</cp:coreProperties>
</file>