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Meeting with TGLO on October 18, 2001</w:t>
      </w:r>
    </w:p>
    <w:p>
      <w:pPr>
        <w:pStyle w:val="Subtitle"/>
        <w:rPr/>
      </w:pPr>
      <w:r>
        <w:rPr/>
        <w:t>Summary of Notes</w:t>
      </w:r>
    </w:p>
    <w:p>
      <w:pPr>
        <w:pStyle w:val="Normal"/>
        <w:rPr/>
      </w:pPr>
      <w:r>
        <w:rPr/>
      </w:r>
    </w:p>
    <w:p>
      <w:pPr>
        <w:pStyle w:val="Normal"/>
        <w:rPr/>
      </w:pPr>
      <w:r>
        <w:rPr/>
        <w:t>Attendees from TGLO:</w:t>
      </w:r>
    </w:p>
    <w:p>
      <w:pPr>
        <w:pStyle w:val="Normal"/>
        <w:rPr/>
      </w:pPr>
      <w:r>
        <w:rPr/>
        <w:t>David Hall, Richard Bone (sp?), Robert Hatter</w:t>
      </w:r>
    </w:p>
    <w:p>
      <w:pPr>
        <w:pStyle w:val="Normal"/>
        <w:rPr/>
      </w:pPr>
      <w:r>
        <w:rPr/>
        <w:t>Attendees from Enron:</w:t>
      </w:r>
    </w:p>
    <w:p>
      <w:pPr>
        <w:pStyle w:val="Normal"/>
        <w:rPr/>
      </w:pPr>
      <w:r>
        <w:rPr/>
        <w:t>Linda Roberts, Gary Bryan, Jim Schwieger, Peter Bennett, Eric Boyt, Chris Cramer</w:t>
      </w:r>
    </w:p>
    <w:p>
      <w:pPr>
        <w:pStyle w:val="Normal"/>
        <w:rPr/>
      </w:pPr>
      <w:r>
        <w:rPr/>
      </w:r>
    </w:p>
    <w:p>
      <w:pPr>
        <w:pStyle w:val="Heading1"/>
        <w:ind w:hanging="0" w:start="0"/>
        <w:rPr/>
      </w:pPr>
      <w:r>
        <w:rPr/>
        <w:t>General Discussion:</w:t>
      </w:r>
    </w:p>
    <w:p>
      <w:pPr>
        <w:pStyle w:val="Normal"/>
        <w:numPr>
          <w:ilvl w:val="0"/>
          <w:numId w:val="3"/>
        </w:numPr>
        <w:rPr>
          <w:b/>
          <w:bCs/>
          <w:u w:val="single"/>
        </w:rPr>
      </w:pPr>
      <w:r>
        <w:rPr/>
        <w:t>Most of their gas is on the Gulf Coast – 80% is offshore and 20% is onshore</w:t>
      </w:r>
    </w:p>
    <w:p>
      <w:pPr>
        <w:pStyle w:val="Normal"/>
        <w:numPr>
          <w:ilvl w:val="0"/>
          <w:numId w:val="3"/>
        </w:numPr>
        <w:rPr>
          <w:b/>
          <w:bCs/>
          <w:u w:val="single"/>
        </w:rPr>
      </w:pPr>
      <w:r>
        <w:rPr/>
        <w:t>They have about 20,000 mmbtu/day of excess gas available</w:t>
      </w:r>
    </w:p>
    <w:p>
      <w:pPr>
        <w:pStyle w:val="Normal"/>
        <w:numPr>
          <w:ilvl w:val="0"/>
          <w:numId w:val="3"/>
        </w:numPr>
        <w:rPr>
          <w:b/>
          <w:bCs/>
          <w:u w:val="single"/>
        </w:rPr>
      </w:pPr>
      <w:r>
        <w:rPr/>
        <w:t>TGLO has Waha production with Hendlrich &amp; Payne, about 10,000/day (Dixie Land #1 &amp; #2).  The company wants TGLO take and market 100% of the gas from these properties.  G. Bryan commented that Producer One could provide the “back-office” support and cut 2 checks to TGLO does not touch the companies money. [Note: there is a $.005 pool-to-pool transfer fee at Waha]</w:t>
      </w:r>
    </w:p>
    <w:p>
      <w:pPr>
        <w:pStyle w:val="Normal"/>
        <w:numPr>
          <w:ilvl w:val="0"/>
          <w:numId w:val="3"/>
        </w:numPr>
        <w:rPr>
          <w:b/>
          <w:bCs/>
          <w:u w:val="single"/>
        </w:rPr>
      </w:pPr>
      <w:r>
        <w:rPr/>
        <w:t>TGLO is only taking about 48% of their production as royalty-in-kind.  They would probably never take 100% due to some of the remote locations.</w:t>
      </w:r>
    </w:p>
    <w:p>
      <w:pPr>
        <w:pStyle w:val="Normal"/>
        <w:numPr>
          <w:ilvl w:val="0"/>
          <w:numId w:val="3"/>
        </w:numPr>
        <w:rPr>
          <w:b/>
          <w:bCs/>
          <w:u w:val="single"/>
        </w:rPr>
      </w:pPr>
      <w:r>
        <w:rPr/>
        <w:t>TGLO (Richard Bone) is to provide Enron a file with all their interest and possibilities to take in-kind.</w:t>
      </w:r>
    </w:p>
    <w:p>
      <w:pPr>
        <w:pStyle w:val="Normal"/>
        <w:numPr>
          <w:ilvl w:val="0"/>
          <w:numId w:val="3"/>
        </w:numPr>
        <w:rPr>
          <w:b/>
          <w:bCs/>
          <w:u w:val="single"/>
        </w:rPr>
      </w:pPr>
      <w:r>
        <w:rPr/>
        <w:t>TGLO gas requirements for all agency customers is 15,000 mmbtu/day</w:t>
      </w:r>
    </w:p>
    <w:p>
      <w:pPr>
        <w:pStyle w:val="Normal"/>
        <w:numPr>
          <w:ilvl w:val="0"/>
          <w:numId w:val="3"/>
        </w:numPr>
        <w:rPr>
          <w:b/>
          <w:bCs/>
          <w:u w:val="single"/>
        </w:rPr>
      </w:pPr>
      <w:r>
        <w:rPr/>
        <w:t>TGLO’s Power Program with Reliant supplies about 100 customers, including all 45 school districts in the area</w:t>
      </w:r>
    </w:p>
    <w:p>
      <w:pPr>
        <w:pStyle w:val="Normal"/>
        <w:numPr>
          <w:ilvl w:val="0"/>
          <w:numId w:val="3"/>
        </w:numPr>
        <w:rPr>
          <w:b/>
          <w:bCs/>
          <w:u w:val="single"/>
        </w:rPr>
      </w:pPr>
      <w:r>
        <w:rPr/>
        <w:t>The gas requirement for the Power Program with Reliant is 31,000 mmbtu/day</w:t>
      </w:r>
    </w:p>
    <w:p>
      <w:pPr>
        <w:pStyle w:val="Normal"/>
        <w:numPr>
          <w:ilvl w:val="0"/>
          <w:numId w:val="3"/>
        </w:numPr>
        <w:rPr>
          <w:b/>
          <w:bCs/>
          <w:u w:val="single"/>
        </w:rPr>
      </w:pPr>
      <w:r>
        <w:rPr/>
        <w:t xml:space="preserve">However, November 1, 2001, this all 31,000 becomes fully interruptible by the TGLO.  If TGLO recalls the gas they are still entitled to receive the power from Reliant.  Reliant will bill the power customer for the electricity, collect payment and remit a “royalty type fee” to TGLO.  There reason Reliant is willing to do this is the TGLO power has the benefit of avoiding tax payments.  </w:t>
      </w:r>
      <w:r>
        <w:rPr>
          <w:b/>
          <w:bCs/>
        </w:rPr>
        <w:t>We need to get a copy of this contract, if possible, and begin valuing the optionality.</w:t>
      </w:r>
    </w:p>
    <w:p>
      <w:pPr>
        <w:pStyle w:val="Normal"/>
        <w:numPr>
          <w:ilvl w:val="0"/>
          <w:numId w:val="3"/>
        </w:numPr>
        <w:rPr>
          <w:b/>
          <w:bCs/>
          <w:u w:val="single"/>
        </w:rPr>
      </w:pPr>
      <w:r>
        <w:rPr/>
        <w:t>G. Bryan recommended that in the Enron/TGLO partnership, Enron would be willing to provide TGLO information on when and where wells are being permitted via a database currently being maintained by fundamentals.  TGLO would provide web access to base maps (Acrobat Reader Download)</w:t>
      </w:r>
    </w:p>
    <w:p>
      <w:pPr>
        <w:pStyle w:val="Normal"/>
        <w:numPr>
          <w:ilvl w:val="0"/>
          <w:numId w:val="3"/>
        </w:numPr>
        <w:rPr>
          <w:b/>
          <w:bCs/>
          <w:u w:val="single"/>
        </w:rPr>
      </w:pPr>
      <w:r>
        <w:rPr/>
        <w:t>TGLO (Richard) is going to provide Enron with a production profile over the last 12 months</w:t>
      </w:r>
    </w:p>
    <w:p>
      <w:pPr>
        <w:pStyle w:val="Normal"/>
        <w:numPr>
          <w:ilvl w:val="0"/>
          <w:numId w:val="3"/>
        </w:numPr>
        <w:rPr>
          <w:b/>
          <w:bCs/>
          <w:u w:val="single"/>
        </w:rPr>
      </w:pPr>
      <w:r>
        <w:rPr/>
        <w:t>TGLO transported 16 Bcf in 2000, 6.6 Bcf was transported on HPL</w:t>
      </w:r>
    </w:p>
    <w:p>
      <w:pPr>
        <w:pStyle w:val="Normal"/>
        <w:numPr>
          <w:ilvl w:val="0"/>
          <w:numId w:val="3"/>
        </w:numPr>
        <w:rPr>
          <w:b/>
          <w:bCs/>
          <w:u w:val="single"/>
        </w:rPr>
      </w:pPr>
      <w:r>
        <w:rPr/>
        <w:t>TGLO’s transportation rate on HPL is $.275 demand and 1.65% fuel</w:t>
      </w:r>
    </w:p>
    <w:p>
      <w:pPr>
        <w:pStyle w:val="Normal"/>
        <w:numPr>
          <w:ilvl w:val="0"/>
          <w:numId w:val="3"/>
        </w:numPr>
        <w:rPr>
          <w:b/>
          <w:bCs/>
          <w:u w:val="single"/>
        </w:rPr>
      </w:pPr>
      <w:r>
        <w:rPr/>
        <w:t>David:  If an agency customer consumes more than 100 mmbtu in a given year, they must submit a contract to TGLO who in-turn has the right, but not the obligation, to serve their gas requirements.</w:t>
      </w:r>
    </w:p>
    <w:p>
      <w:pPr>
        <w:pStyle w:val="Heading1"/>
        <w:ind w:hanging="0" w:start="0"/>
        <w:rPr>
          <w:b w:val="false"/>
          <w:bCs w:val="false"/>
          <w:u w:val="single"/>
        </w:rPr>
      </w:pPr>
      <w:r>
        <w:rPr>
          <w:b w:val="false"/>
          <w:bCs w:val="false"/>
          <w:u w:val="single"/>
        </w:rPr>
      </w:r>
    </w:p>
    <w:p>
      <w:pPr>
        <w:pStyle w:val="Heading1"/>
        <w:ind w:hanging="0" w:start="0"/>
        <w:rPr/>
      </w:pPr>
      <w:r>
        <w:rPr/>
        <w:t>Discussion regarding Schedule A: Bammel Storage Management</w:t>
      </w:r>
    </w:p>
    <w:p>
      <w:pPr>
        <w:pStyle w:val="Normal"/>
        <w:numPr>
          <w:ilvl w:val="0"/>
          <w:numId w:val="4"/>
        </w:numPr>
        <w:rPr/>
      </w:pPr>
      <w:r>
        <w:rPr/>
        <w:t>TGLO’s cost of gas in the ground at Bammel is approximately $5.00/mmbtu</w:t>
      </w:r>
    </w:p>
    <w:p>
      <w:pPr>
        <w:pStyle w:val="Normal"/>
        <w:numPr>
          <w:ilvl w:val="0"/>
          <w:numId w:val="4"/>
        </w:numPr>
        <w:rPr/>
      </w:pPr>
      <w:r>
        <w:rPr/>
        <w:t>This is not true “cost” but rather represents the spot price for gas the month when TGLO received the in-kind gas and decided to put it into storage instead of selling it in the market.  It also includes the 15% reduction in volume that AEP is charging for the storage service (meaning TGLO only receives 85% of what was injected, the 15% represents the storage fee).</w:t>
      </w:r>
    </w:p>
    <w:p>
      <w:pPr>
        <w:pStyle w:val="Normal"/>
        <w:numPr>
          <w:ilvl w:val="0"/>
          <w:numId w:val="4"/>
        </w:numPr>
        <w:rPr/>
      </w:pPr>
      <w:r>
        <w:rPr/>
        <w:t>The contract with AEP is a 1 yr evergreen</w:t>
      </w:r>
    </w:p>
    <w:p>
      <w:pPr>
        <w:pStyle w:val="Normal"/>
        <w:numPr>
          <w:ilvl w:val="0"/>
          <w:numId w:val="4"/>
        </w:numPr>
        <w:rPr/>
      </w:pPr>
      <w:r>
        <w:rPr/>
        <w:t xml:space="preserve">They intend on using this gas for their “agency customers” as well as “insurance” for their power program with Reliant.  </w:t>
      </w:r>
      <w:r>
        <w:rPr>
          <w:u w:val="single"/>
        </w:rPr>
        <w:t>However, TGLO confirmed that the gas is not required by contract or statute to be used for these purposes</w:t>
      </w:r>
      <w:r>
        <w:rPr/>
        <w:t>.  They commented that all the Bammel gas is “free”, meaning they can fulfill all their requirements by current production.</w:t>
      </w:r>
    </w:p>
    <w:p>
      <w:pPr>
        <w:pStyle w:val="Normal"/>
        <w:numPr>
          <w:ilvl w:val="0"/>
          <w:numId w:val="4"/>
        </w:numPr>
        <w:rPr/>
      </w:pPr>
      <w:r>
        <w:rPr/>
        <w:t>HPL use some of the TGLO gas for balancing requirements for TGLO’s service to their “agency customers”</w:t>
      </w:r>
    </w:p>
    <w:p>
      <w:pPr>
        <w:pStyle w:val="Normal"/>
        <w:numPr>
          <w:ilvl w:val="0"/>
          <w:numId w:val="4"/>
        </w:numPr>
        <w:rPr/>
      </w:pPr>
      <w:r>
        <w:rPr/>
        <w:t>The contract allows for 25,000 mmbtu/day withdraw capabilities, up to the max total withdraw of 1 Bcf</w:t>
      </w:r>
    </w:p>
    <w:p>
      <w:pPr>
        <w:pStyle w:val="Normal"/>
        <w:numPr>
          <w:ilvl w:val="0"/>
          <w:numId w:val="4"/>
        </w:numPr>
        <w:rPr/>
      </w:pPr>
      <w:r>
        <w:rPr/>
        <w:t>TGLO also has 250,000 mmbtu of storage at Spindletop (Santana) with 15,000 mmbtu/day of injection and withdraw rights</w:t>
      </w:r>
    </w:p>
    <w:p>
      <w:pPr>
        <w:pStyle w:val="Normal"/>
        <w:numPr>
          <w:ilvl w:val="0"/>
          <w:numId w:val="4"/>
        </w:numPr>
        <w:rPr/>
      </w:pPr>
      <w:r>
        <w:rPr/>
        <w:t>TGLO is looking to maximize this value of their storage gas and contracts</w:t>
      </w:r>
    </w:p>
    <w:p>
      <w:pPr>
        <w:pStyle w:val="Normal"/>
        <w:numPr>
          <w:ilvl w:val="0"/>
          <w:numId w:val="4"/>
        </w:numPr>
        <w:rPr/>
      </w:pPr>
      <w:r>
        <w:rPr/>
        <w:t>With J. Schwieger leading the discussion, we proposed a scenario where ENA managed the contract and did the following 1) lock in the sale of the gas into the highest priced forward contract, 2) then sell the gas in the cash market when the pricing environment is favorable and replace the gas.  This optimization could eventually make TGLO enough to offset the apparent loss in value (i.e. having $5.00 gas sold into a $3.50 market, which was the highest priced month – Jan ’04).  Schwieger said he would be willing to “write-up” the various options/scenarios</w:t>
      </w:r>
    </w:p>
    <w:p>
      <w:pPr>
        <w:pStyle w:val="Normal"/>
        <w:rPr/>
      </w:pPr>
      <w:r>
        <w:rPr/>
      </w:r>
    </w:p>
    <w:p>
      <w:pPr>
        <w:pStyle w:val="Heading1"/>
        <w:ind w:hanging="0" w:start="0"/>
        <w:rPr/>
      </w:pPr>
      <w:r>
        <w:rPr/>
        <w:t>Discussion on Schedule B: Kathleen Ann Field Development</w:t>
      </w:r>
    </w:p>
    <w:p>
      <w:pPr>
        <w:pStyle w:val="Normal"/>
        <w:numPr>
          <w:ilvl w:val="0"/>
          <w:numId w:val="2"/>
        </w:numPr>
        <w:rPr/>
      </w:pPr>
      <w:r>
        <w:rPr/>
        <w:t>Jim Irwin (TGLO) is still working on the numbers and will need to get together with Gary Wilson</w:t>
      </w:r>
    </w:p>
    <w:p>
      <w:pPr>
        <w:pStyle w:val="Normal"/>
        <w:numPr>
          <w:ilvl w:val="0"/>
          <w:numId w:val="2"/>
        </w:numPr>
        <w:rPr/>
      </w:pPr>
      <w:r>
        <w:rPr/>
        <w:t>The facility needs 600,000 mmbtu of pad gas</w:t>
      </w:r>
    </w:p>
    <w:p>
      <w:pPr>
        <w:pStyle w:val="Normal"/>
        <w:numPr>
          <w:ilvl w:val="0"/>
          <w:numId w:val="2"/>
        </w:numPr>
        <w:rPr/>
      </w:pPr>
      <w:r>
        <w:rPr/>
        <w:t>It costs $.14 to move to the gas from Bammel to KAF</w:t>
      </w:r>
    </w:p>
    <w:p>
      <w:pPr>
        <w:pStyle w:val="Normal"/>
        <w:numPr>
          <w:ilvl w:val="0"/>
          <w:numId w:val="2"/>
        </w:numPr>
        <w:rPr/>
      </w:pPr>
      <w:r>
        <w:rPr/>
        <w:t>TGLO needs some kind of revenue from the oil recovery program</w:t>
      </w:r>
    </w:p>
    <w:p>
      <w:pPr>
        <w:pStyle w:val="Normal"/>
        <w:numPr>
          <w:ilvl w:val="0"/>
          <w:numId w:val="2"/>
        </w:numPr>
        <w:rPr/>
      </w:pPr>
      <w:r>
        <w:rPr/>
        <w:t>The oil may need to be trucked out due to high API</w:t>
      </w:r>
    </w:p>
    <w:p>
      <w:pPr>
        <w:pStyle w:val="Normal"/>
        <w:numPr>
          <w:ilvl w:val="0"/>
          <w:numId w:val="2"/>
        </w:numPr>
        <w:rPr/>
      </w:pPr>
      <w:r>
        <w:rPr/>
        <w:t>TGLO could probably write a check to buy the property interest from current owner and then provide them (PNP) a royalty back.  TGLO would get the benefit of not paying Ad Valorem taxes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2001-10-29T14:12:00Z</dcterms:created>
  <dc:creator>Eric Boyt</dc:creator>
  <dc:description/>
  <dc:language>en-CA</dc:language>
  <cp:lastModifiedBy>Eric Boyt</cp:lastModifiedBy>
  <dcterms:modified xsi:type="dcterms:W3CDTF">2001-10-30T19:06:00Z</dcterms:modified>
  <cp:revision>12</cp:revision>
  <dc:subject/>
  <dc:title>Meeting with TGLO on Octber 18, 2001</dc:title>
</cp:coreProperties>
</file>