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 w:val="false"/>
          <w:sz w:val="36"/>
        </w:rPr>
      </w:pPr>
      <w:r>
        <w:rPr>
          <w:b w:val="false"/>
          <w:sz w:val="36"/>
        </w:rPr>
        <w:t>ERCOT &amp; QSE Finances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-457200</wp:posOffset>
                </wp:positionH>
                <wp:positionV relativeFrom="paragraph">
                  <wp:posOffset>-685800</wp:posOffset>
                </wp:positionV>
                <wp:extent cx="1802130" cy="95885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2130" cy="95885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620520" cy="866140"/>
                                  <wp:effectExtent l="0" t="0" r="0" b="0"/>
                                  <wp:docPr id="2" name="Ercot%20Logo" descr="" title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Ercot%20Logo" descr="" titl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rcRect l="-10" t="-18" r="-10" b="-1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0520" cy="866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41.9pt;height:75.5pt;mso-wrap-distance-left:9.05pt;mso-wrap-distance-right:9.05pt;mso-wrap-distance-top:0pt;mso-wrap-distance-bottom:0pt;margin-top:-54pt;mso-position-vertical-relative:text;margin-left:-3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620520" cy="866140"/>
                            <wp:effectExtent l="0" t="0" r="0" b="0"/>
                            <wp:docPr id="3" name="Ercot%20Logo" descr="" titl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Ercot%20Logo" descr="" titl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/>
                                    <a:srcRect l="-10" t="-18" r="-10" b="-1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0520" cy="866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rPr>
          <w:b w:val="false"/>
          <w:sz w:val="36"/>
        </w:rPr>
      </w:pPr>
      <w:r>
        <w:rPr>
          <w:b w:val="false"/>
          <w:sz w:val="36"/>
        </w:rPr>
        <w:t>A MEETING with QSE Financial Personnel</w:t>
      </w:r>
    </w:p>
    <w:p>
      <w:pPr>
        <w:pStyle w:val="Heading5"/>
        <w:ind w:hanging="0" w:start="0"/>
        <w:rPr/>
      </w:pPr>
      <w:r>
        <w:rPr/>
        <w:t>Friday August 17, 2001</w:t>
      </w:r>
    </w:p>
    <w:p>
      <w:pPr>
        <w:pStyle w:val="Heading4"/>
        <w:ind w:hanging="0" w:start="0"/>
        <w:jc w:val="start"/>
        <w:rPr>
          <w:rFonts w:ascii="Tahoma" w:hAnsi="Tahoma" w:cs="Tahoma"/>
          <w:sz w:val="20"/>
        </w:rPr>
      </w:pPr>
      <w:r>
        <w:rPr>
          <w:rFonts w:cs="Tahoma" w:ascii="Tahoma" w:hAnsi="Tahoma"/>
          <w:bCs w:val="false"/>
          <w:sz w:val="20"/>
        </w:rPr>
        <w:t>Meeting Agenda</w:t>
      </w:r>
      <w:r>
        <w:rPr>
          <w:rFonts w:cs="Tahoma" w:ascii="Tahoma" w:hAnsi="Tahoma"/>
          <w:sz w:val="20"/>
        </w:rPr>
        <w:t xml:space="preserve"> </w:t>
        <w:tab/>
        <w:tab/>
        <w:t>ERCOT MET Center facility – 7620 Metro Center Drive, Austin, TX</w:t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28"/>
        <w:gridCol w:w="7020"/>
        <w:gridCol w:w="2160"/>
      </w:tblGrid>
      <w:tr>
        <w:trPr/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Heading9"/>
              <w:ind w:hanging="0" w:start="0"/>
              <w:rPr>
                <w:rFonts w:ascii="Tahoma" w:hAnsi="Tahoma" w:cs="Tahoma"/>
                <w:bCs w:val="false"/>
              </w:rPr>
            </w:pPr>
            <w:r>
              <w:rPr>
                <w:rFonts w:cs="Tahoma" w:ascii="Tahoma" w:hAnsi="Tahoma"/>
                <w:bCs w:val="false"/>
              </w:rPr>
              <w:t>Time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Topic</w:t>
            </w:r>
          </w:p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Speaker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9:00 – 9:15</w:t>
            </w:r>
          </w:p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Tahoma" w:hAnsi="Tahoma" w:cs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 xml:space="preserve">Introduction </w:t>
            </w:r>
          </w:p>
          <w:p>
            <w:pPr>
              <w:pStyle w:val="Heading1"/>
              <w:ind w:hanging="0" w:start="0"/>
              <w:rPr>
                <w:rFonts w:ascii="Tahoma" w:hAnsi="Tahoma" w:cs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 xml:space="preserve">Review of agenda 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  <w:t>Ted Hailu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9:15– 10:45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sz w:val="20"/>
              </w:rPr>
              <w:t xml:space="preserve">Settlement Statements and Invoices – An Introduction 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cs="Tahoma" w:ascii="Tahoma" w:hAnsi="Tahoma"/>
                <w:sz w:val="20"/>
                <w:szCs w:val="32"/>
              </w:rPr>
              <w:t>ERCOT’s and QSE’s Role in the Settlement Process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32"/>
              </w:rPr>
            </w:pPr>
            <w:r>
              <w:rPr>
                <w:rFonts w:cs="Tahoma" w:ascii="Tahoma" w:hAnsi="Tahoma"/>
                <w:sz w:val="20"/>
                <w:szCs w:val="32"/>
              </w:rPr>
              <w:t>Settlement Timeline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8"/>
              </w:rPr>
            </w:pPr>
            <w:r>
              <w:rPr>
                <w:rFonts w:cs="Tahoma" w:ascii="Tahoma" w:hAnsi="Tahoma"/>
                <w:sz w:val="20"/>
                <w:szCs w:val="32"/>
              </w:rPr>
              <w:t>Settlement Statements</w:t>
            </w:r>
            <w:r>
              <w:rPr>
                <w:rFonts w:cs="Tahoma" w:ascii="Tahoma" w:hAnsi="Tahoma"/>
                <w:sz w:val="20"/>
                <w:szCs w:val="28"/>
              </w:rPr>
              <w:t xml:space="preserve"> and Invoices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vanish/>
              </w:rPr>
            </w:pPr>
            <w:r>
              <w:rPr>
                <w:rFonts w:cs="Tahoma" w:ascii="Tahoma" w:hAnsi="Tahoma"/>
                <w:sz w:val="20"/>
                <w:szCs w:val="32"/>
              </w:rPr>
              <w:t>How to view and retrieve a Settlement Statement and / or Invoice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rFonts w:ascii="Tahoma" w:hAnsi="Tahoma" w:cs="Tahoma"/>
                <w:sz w:val="20"/>
              </w:rPr>
            </w:pPr>
            <w:r>
              <w:rPr>
                <w:rFonts w:cs="Tahoma" w:ascii="Tahoma" w:hAnsi="Tahoma"/>
                <w:vanish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  <w:t>Gloria Edwards / Terry Madden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10:45 – 11:00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>
                <w:rFonts w:ascii="Tahoma" w:hAnsi="Tahoma" w:cs="Tahoma"/>
                <w:b w:val="false"/>
                <w:bCs w:val="false"/>
                <w:sz w:val="20"/>
              </w:rPr>
            </w:pPr>
            <w:r>
              <w:rPr>
                <w:rFonts w:cs="Tahoma" w:ascii="Tahoma" w:hAnsi="Tahoma"/>
                <w:b w:val="false"/>
                <w:bCs w:val="false"/>
                <w:sz w:val="20"/>
                <w:szCs w:val="20"/>
              </w:rPr>
              <w:t>Break</w:t>
            </w:r>
          </w:p>
          <w:p>
            <w:pPr>
              <w:pStyle w:val="Normal"/>
              <w:ind w:start="360" w:end="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cs="Tahoma" w:ascii="Tahoma" w:hAnsi="Tahoma"/>
                <w:b/>
                <w:bCs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snapToGrid w:val="false"/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11:00 – 12:00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 xml:space="preserve">QSE Credit Issues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>QSE Credit Requirements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>Monitoring QSE Liability and Credit Limits</w:t>
            </w:r>
          </w:p>
          <w:p>
            <w:pPr>
              <w:pStyle w:val="Normal"/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6"/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  <w:t>Vanessa Spells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12:00 – 1:00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Heading2"/>
              <w:ind w:hanging="0" w:start="0"/>
              <w:rPr>
                <w:rFonts w:ascii="Tahoma" w:hAnsi="Tahoma" w:cs="Tahoma"/>
                <w:b w:val="false"/>
                <w:sz w:val="20"/>
              </w:rPr>
            </w:pPr>
            <w:r>
              <w:rPr>
                <w:rFonts w:cs="Tahoma" w:ascii="Tahoma" w:hAnsi="Tahoma"/>
                <w:b w:val="false"/>
                <w:sz w:val="20"/>
              </w:rPr>
              <w:t>Lunch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>Lunch Will Be Provided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1:00 – 1:30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  <w:t>Communicating with ERCOT regarding payment of invoices</w:t>
            </w:r>
          </w:p>
          <w:p>
            <w:pPr>
              <w:pStyle w:val="Heading9"/>
              <w:numPr>
                <w:ilvl w:val="1"/>
                <w:numId w:val="4"/>
              </w:numPr>
              <w:rPr>
                <w:rFonts w:ascii="Tahoma" w:hAnsi="Tahoma" w:cs="Tahoma"/>
                <w:b w:val="false"/>
              </w:rPr>
            </w:pPr>
            <w:r>
              <w:rPr>
                <w:rFonts w:cs="Tahoma" w:ascii="Tahoma" w:hAnsi="Tahoma"/>
                <w:b w:val="false"/>
              </w:rPr>
              <w:t>Introduction to ERCOT Client Relations</w:t>
            </w:r>
          </w:p>
          <w:p>
            <w:pPr>
              <w:pStyle w:val="Normal"/>
              <w:numPr>
                <w:ilvl w:val="1"/>
                <w:numId w:val="4"/>
              </w:numPr>
              <w:rPr/>
            </w:pPr>
            <w:r>
              <w:rPr>
                <w:rFonts w:cs="Tahoma" w:ascii="Tahoma" w:hAnsi="Tahoma"/>
                <w:sz w:val="20"/>
              </w:rPr>
              <w:t>Process for Late Payments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>Ted Hailu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1:30 – 2:00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>Questions and Answers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Tahoma" w:hAnsi="Tahoma" w:cs="Tahoma"/>
                <w:bCs/>
                <w:sz w:val="20"/>
              </w:rPr>
            </w:pPr>
            <w:r>
              <w:rPr>
                <w:rFonts w:cs="Tahoma" w:ascii="Tahoma" w:hAnsi="Tahoma"/>
                <w:bCs/>
                <w:sz w:val="20"/>
              </w:rPr>
              <w:t>All</w:t>
            </w:r>
          </w:p>
        </w:tc>
      </w:tr>
      <w:tr>
        <w:trPr>
          <w:trHeight w:val="864" w:hRule="atLeast"/>
        </w:trPr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Tahoma" w:hAnsi="Tahoma" w:cs="Tahoma"/>
                <w:b/>
                <w:sz w:val="20"/>
              </w:rPr>
            </w:pPr>
            <w:r>
              <w:rPr>
                <w:rFonts w:cs="Tahoma" w:ascii="Tahoma" w:hAnsi="Tahoma"/>
                <w:b/>
                <w:sz w:val="20"/>
              </w:rPr>
              <w:t>2:00</w:t>
            </w:r>
          </w:p>
        </w:tc>
        <w:tc>
          <w:tcPr>
            <w:tcW w:w="70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Tahoma" w:hAnsi="Tahoma" w:cs="Tahoma"/>
                <w:b w:val="false"/>
                <w:bCs w:val="false"/>
              </w:rPr>
            </w:pPr>
            <w:r>
              <w:rPr>
                <w:rFonts w:cs="Tahoma" w:ascii="Tahoma" w:hAnsi="Tahoma"/>
                <w:b w:val="false"/>
                <w:bCs w:val="false"/>
              </w:rPr>
              <w:t>Adjourn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Tahoma" w:hAnsi="Tahoma" w:cs="Tahoma"/>
                <w:b w:val="false"/>
                <w:bCs/>
                <w:sz w:val="20"/>
              </w:rPr>
            </w:pPr>
            <w:r>
              <w:rPr>
                <w:rFonts w:cs="Tahoma" w:ascii="Tahoma" w:hAnsi="Tahoma"/>
                <w:b w:val="false"/>
                <w:bCs/>
                <w:sz w:val="20"/>
              </w:rPr>
            </w:r>
          </w:p>
        </w:tc>
      </w:tr>
    </w:tbl>
    <w:p>
      <w:pPr>
        <w:pStyle w:val="Heading"/>
        <w:jc w:val="start"/>
        <w:rPr/>
      </w:pPr>
      <w:r>
        <w:rPr/>
      </w:r>
    </w:p>
    <w:sectPr>
      <w:type w:val="nextPage"/>
      <w:pgSz w:w="12240" w:h="15840"/>
      <w:pgMar w:left="720" w:right="907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Broadway">
    <w:charset w:val="00" w:characterSet="windows-1252"/>
    <w:family w:val="decorative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7"/>
      <w:numFmt w:val="bullet"/>
      <w:lvlText w:val="–"/>
      <w:lvlJc w:val="start"/>
      <w:pPr>
        <w:tabs>
          <w:tab w:val="num" w:pos="1440"/>
        </w:tabs>
        <w:ind w:star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bCs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i/>
      <w:iCs/>
      <w:sz w:val="2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bCs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sz w:val="24"/>
    </w:rPr>
  </w:style>
  <w:style w:type="character" w:styleId="WW8Num3z0">
    <w:name w:val="WW8Num3z0"/>
    <w:qFormat/>
    <w:rPr>
      <w:rFonts w:ascii="Symbol" w:hAnsi="Symbol" w:cs="Symbol"/>
      <w:sz w:val="16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sz w:val="24"/>
    </w:rPr>
  </w:style>
  <w:style w:type="character" w:styleId="WW8Num7z0">
    <w:name w:val="WW8Num7z0"/>
    <w:qFormat/>
    <w:rPr>
      <w:rFonts w:ascii="Times New Roman" w:hAnsi="Times New Roman" w:eastAsia="Times New Roman" w:cs="Times New Roman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16"/>
    </w:rPr>
  </w:style>
  <w:style w:type="character" w:styleId="WW8Num9z0">
    <w:name w:val="WW8Num9z0"/>
    <w:qFormat/>
    <w:rPr>
      <w:rFonts w:ascii="Symbol" w:hAnsi="Symbol" w:cs="Symbol"/>
      <w:sz w:val="16"/>
    </w:rPr>
  </w:style>
  <w:style w:type="character" w:styleId="WW8Num10z0">
    <w:name w:val="WW8Num10z0"/>
    <w:qFormat/>
    <w:rPr>
      <w:rFonts w:ascii="Symbol" w:hAnsi="Symbol" w:cs="Symbol"/>
      <w:sz w:val="16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5z0">
    <w:name w:val="WW8Num15z0"/>
    <w:qFormat/>
    <w:rPr>
      <w:rFonts w:ascii="Symbol" w:hAnsi="Symbol" w:cs="Symbol"/>
      <w:sz w:val="16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Times New Roman" w:hAnsi="Times New Roman" w:eastAsia="Times New Roman" w:cs="Times New Roman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4">
    <w:name w:val="WW8Num16z4"/>
    <w:qFormat/>
    <w:rPr>
      <w:rFonts w:ascii="Courier New" w:hAnsi="Courier New" w:cs="Courier New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  <w:sz w:val="16"/>
    </w:rPr>
  </w:style>
  <w:style w:type="character" w:styleId="WW8Num21z0">
    <w:name w:val="WW8Num21z0"/>
    <w:qFormat/>
    <w:rPr>
      <w:rFonts w:ascii="Symbol" w:hAnsi="Symbol" w:cs="Symbol"/>
      <w:sz w:val="16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rFonts w:ascii="Broadway" w:hAnsi="Broadway" w:cs="Broadway"/>
      <w:b/>
      <w:bCs/>
      <w:sz w:val="40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/>
    <w:rPr>
      <w:szCs w:val="20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BodyText3">
    <w:name w:val="Body Text 3"/>
    <w:basedOn w:val="Normal"/>
    <w:qFormat/>
    <w:pPr/>
    <w:rPr>
      <w:sz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2001-08-06T22:17:00Z</dcterms:created>
  <dc:creator>Vann Weldon</dc:creator>
  <dc:description/>
  <dc:language>en-CA</dc:language>
  <cp:lastModifiedBy>Ted Hailu</cp:lastModifiedBy>
  <cp:lastPrinted>2000-10-17T11:12:00Z</cp:lastPrinted>
  <dcterms:modified xsi:type="dcterms:W3CDTF">2001-08-06T22:18:00Z</dcterms:modified>
  <cp:revision>3</cp:revision>
  <dc:subject/>
  <dc:title>Agenda for Market Readiness Series #4</dc:title>
</cp:coreProperties>
</file>