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Meeting Notes for CREPC</w:t>
      </w:r>
      <w:r>
        <w:rPr>
          <w:rStyle w:val="FootnoteCharacters"/>
          <w:rStyle w:val="FootnoteReference"/>
          <w:b/>
          <w:bCs/>
        </w:rPr>
        <w:footnoteReference w:id="2"/>
      </w:r>
    </w:p>
    <w:p>
      <w:pPr>
        <w:pStyle w:val="Normal"/>
        <w:jc w:val="center"/>
        <w:rPr>
          <w:b/>
          <w:bCs/>
        </w:rPr>
      </w:pPr>
      <w:r>
        <w:rPr>
          <w:b/>
          <w:bCs/>
        </w:rPr>
        <w:t>Seattle, Washington</w:t>
      </w:r>
    </w:p>
    <w:p>
      <w:pPr>
        <w:pStyle w:val="Normal"/>
        <w:jc w:val="center"/>
        <w:rPr>
          <w:b/>
          <w:bCs/>
        </w:rPr>
      </w:pPr>
      <w:r>
        <w:rPr>
          <w:b/>
          <w:bCs/>
        </w:rPr>
      </w:r>
    </w:p>
    <w:p>
      <w:pPr>
        <w:pStyle w:val="Normal"/>
        <w:pBdr>
          <w:bottom w:val="single" w:sz="6" w:space="1" w:color="000000"/>
        </w:pBdr>
        <w:jc w:val="center"/>
        <w:rPr>
          <w:b/>
          <w:bCs/>
        </w:rPr>
      </w:pPr>
      <w:r>
        <w:rPr>
          <w:b/>
          <w:bCs/>
        </w:rPr>
      </w:r>
    </w:p>
    <w:p>
      <w:pPr>
        <w:pStyle w:val="Normal"/>
        <w:jc w:val="center"/>
        <w:rPr>
          <w:b/>
          <w:bCs/>
        </w:rPr>
      </w:pPr>
      <w:r>
        <w:rPr>
          <w:b/>
          <w:bCs/>
        </w:rPr>
      </w:r>
    </w:p>
    <w:p>
      <w:pPr>
        <w:pStyle w:val="Normal"/>
        <w:jc w:val="center"/>
        <w:rPr>
          <w:b/>
          <w:bCs/>
        </w:rPr>
      </w:pPr>
      <w:r>
        <w:rPr>
          <w:b/>
          <w:bCs/>
        </w:rPr>
      </w:r>
    </w:p>
    <w:p>
      <w:pPr>
        <w:pStyle w:val="Heading1"/>
        <w:ind w:hanging="0" w:start="0"/>
        <w:rPr>
          <w:u w:val="single"/>
        </w:rPr>
      </w:pPr>
      <w:r>
        <w:rPr>
          <w:u w:val="single"/>
        </w:rPr>
        <w:t>Wednesday – October 31, 2001</w:t>
      </w:r>
    </w:p>
    <w:p>
      <w:pPr>
        <w:pStyle w:val="Normal"/>
        <w:rPr>
          <w:u w:val="single"/>
        </w:rPr>
      </w:pPr>
      <w:r>
        <w:rPr>
          <w:u w:val="single"/>
        </w:rPr>
      </w:r>
    </w:p>
    <w:p>
      <w:pPr>
        <w:pStyle w:val="Normal"/>
        <w:jc w:val="center"/>
        <w:rPr/>
      </w:pPr>
      <w:r>
        <w:rPr/>
      </w:r>
    </w:p>
    <w:p>
      <w:pPr>
        <w:pStyle w:val="Header"/>
        <w:tabs>
          <w:tab w:val="clear" w:pos="4320"/>
          <w:tab w:val="clear" w:pos="8640"/>
        </w:tabs>
        <w:rPr>
          <w:b/>
          <w:bCs/>
          <w:i/>
          <w:i/>
          <w:iCs/>
        </w:rPr>
      </w:pPr>
      <w:r>
        <w:rPr>
          <w:b/>
          <w:bCs/>
          <w:i/>
          <w:iCs/>
        </w:rPr>
        <w:t>1.  Meeting called to order by Chair Marsh Smith, Idaho PUC.</w:t>
      </w:r>
    </w:p>
    <w:p>
      <w:pPr>
        <w:pStyle w:val="Header"/>
        <w:tabs>
          <w:tab w:val="clear" w:pos="4320"/>
          <w:tab w:val="clear" w:pos="8640"/>
        </w:tabs>
        <w:rPr>
          <w:b/>
          <w:bCs/>
          <w:i/>
          <w:i/>
          <w:iCs/>
        </w:rPr>
      </w:pPr>
      <w:r>
        <w:rPr>
          <w:b/>
          <w:bCs/>
          <w:i/>
          <w:iCs/>
        </w:rPr>
      </w:r>
    </w:p>
    <w:p>
      <w:pPr>
        <w:pStyle w:val="Header"/>
        <w:tabs>
          <w:tab w:val="clear" w:pos="4320"/>
          <w:tab w:val="clear" w:pos="8640"/>
        </w:tabs>
        <w:ind w:hanging="360" w:start="360" w:end="0"/>
        <w:rPr>
          <w:b/>
          <w:bCs/>
          <w:i/>
          <w:i/>
          <w:iCs/>
        </w:rPr>
      </w:pPr>
      <w:r>
        <w:rPr>
          <w:b/>
          <w:bCs/>
          <w:i/>
          <w:iCs/>
        </w:rPr>
        <w:t>2.  Discussion of Joint CREPC/Western Governors Association to develop a multi-state protocol for permitting of interstate transmission lines.</w:t>
      </w:r>
    </w:p>
    <w:p>
      <w:pPr>
        <w:pStyle w:val="Header"/>
        <w:tabs>
          <w:tab w:val="clear" w:pos="4320"/>
          <w:tab w:val="clear" w:pos="8640"/>
        </w:tabs>
        <w:rPr>
          <w:b/>
          <w:bCs/>
          <w:i/>
          <w:i/>
          <w:iCs/>
        </w:rPr>
      </w:pPr>
      <w:r>
        <w:rPr>
          <w:b/>
          <w:bCs/>
          <w:i/>
          <w:iCs/>
        </w:rPr>
      </w:r>
    </w:p>
    <w:p>
      <w:pPr>
        <w:pStyle w:val="Header"/>
        <w:tabs>
          <w:tab w:val="clear" w:pos="4320"/>
          <w:tab w:val="clear" w:pos="8640"/>
        </w:tabs>
        <w:ind w:hanging="720" w:start="1080" w:end="0"/>
        <w:jc w:val="both"/>
        <w:rPr/>
      </w:pPr>
      <w:r>
        <w:rPr/>
        <w:t>Jim Souby, WGA – States want an federal energy title but not pre-emption of siting authority.  “Leave regulation of regional markets in states.”</w:t>
      </w:r>
    </w:p>
    <w:p>
      <w:pPr>
        <w:pStyle w:val="Header"/>
        <w:tabs>
          <w:tab w:val="clear" w:pos="4320"/>
          <w:tab w:val="clear" w:pos="8640"/>
        </w:tabs>
        <w:ind w:hanging="720" w:start="1080" w:end="0"/>
        <w:rPr/>
      </w:pPr>
      <w:r>
        <w:rPr/>
      </w:r>
    </w:p>
    <w:p>
      <w:pPr>
        <w:pStyle w:val="Header"/>
        <w:tabs>
          <w:tab w:val="clear" w:pos="4320"/>
          <w:tab w:val="clear" w:pos="8640"/>
        </w:tabs>
        <w:ind w:hanging="720" w:start="1080" w:end="0"/>
        <w:jc w:val="both"/>
        <w:rPr/>
      </w:pPr>
      <w:r>
        <w:rPr/>
        <w:t>Larry Nordel, MT DEQ – Reviewed cases raised of siting conflicts but discounted them as not applicable in general.  Claim that states have never rejected an application.</w:t>
      </w:r>
    </w:p>
    <w:p>
      <w:pPr>
        <w:pStyle w:val="Header"/>
        <w:tabs>
          <w:tab w:val="clear" w:pos="4320"/>
          <w:tab w:val="clear" w:pos="8640"/>
        </w:tabs>
        <w:ind w:hanging="720" w:start="1080" w:end="0"/>
        <w:jc w:val="both"/>
        <w:rPr/>
      </w:pPr>
      <w:r>
        <w:rPr/>
      </w:r>
    </w:p>
    <w:p>
      <w:pPr>
        <w:pStyle w:val="Header"/>
        <w:tabs>
          <w:tab w:val="clear" w:pos="4320"/>
          <w:tab w:val="clear" w:pos="8640"/>
        </w:tabs>
        <w:ind w:hanging="720" w:start="1080" w:end="0"/>
        <w:jc w:val="both"/>
        <w:rPr/>
      </w:pPr>
      <w:r>
        <w:rPr/>
        <w:t>Council of Environmental Quality (by phone) – Task force has been organized to pull Federal agencies together on siting issues.  Draft out for comment.  Task force reaches beyond electric to railroads, pipelines, etc.  Separate NEPA Task Force looking at all agencies with a view to make the process a tool for decision making rather than “analysis paralysis” -- expedited review and mechanisms to integrate state, tribal, federal, et. al. in process.  BPA being represented by DOE reps.</w:t>
      </w:r>
    </w:p>
    <w:p>
      <w:pPr>
        <w:pStyle w:val="Header"/>
        <w:tabs>
          <w:tab w:val="clear" w:pos="4320"/>
          <w:tab w:val="clear" w:pos="8640"/>
        </w:tabs>
        <w:ind w:hanging="720" w:start="1080" w:end="0"/>
        <w:jc w:val="both"/>
        <w:rPr/>
      </w:pPr>
      <w:r>
        <w:rPr/>
      </w:r>
    </w:p>
    <w:p>
      <w:pPr>
        <w:pStyle w:val="Header"/>
        <w:tabs>
          <w:tab w:val="clear" w:pos="4320"/>
          <w:tab w:val="clear" w:pos="8640"/>
        </w:tabs>
        <w:ind w:hanging="720" w:start="1080" w:end="0"/>
        <w:jc w:val="both"/>
        <w:rPr/>
      </w:pPr>
      <w:r>
        <w:rPr/>
        <w:t xml:space="preserve">John Savage, OR Energy Office – Draft protocol is an agreement to share information, but there are implementation issues needed to establish common review and how decisions are made.  Question is if common standards can be adopted.  </w:t>
      </w:r>
    </w:p>
    <w:p>
      <w:pPr>
        <w:pStyle w:val="Header"/>
        <w:tabs>
          <w:tab w:val="clear" w:pos="4320"/>
          <w:tab w:val="clear" w:pos="8640"/>
        </w:tabs>
        <w:ind w:hanging="720" w:start="1080" w:end="0"/>
        <w:jc w:val="both"/>
        <w:rPr/>
      </w:pPr>
      <w:r>
        <w:rPr/>
      </w:r>
    </w:p>
    <w:p>
      <w:pPr>
        <w:pStyle w:val="Header"/>
        <w:tabs>
          <w:tab w:val="clear" w:pos="4320"/>
          <w:tab w:val="clear" w:pos="8640"/>
        </w:tabs>
        <w:ind w:hanging="720" w:start="1080" w:end="0"/>
        <w:jc w:val="both"/>
        <w:rPr/>
      </w:pPr>
      <w:r>
        <w:rPr/>
        <w:t>State Roundtable on Protocol:  MT—If only communications sharing, no interstate process is created.  NM—more prescriptive language will be a problem.  WY—Is there enough “meat” on the bone to hold off Federal pre-emption legislation; more details are needed on commitments to be made by states.  FERC—Commissioners Wood and Brunell are not asking for pre-emption of siting authority.  CA—Carl Wood said there was nothing to be done, denies there is a problem to be solved.  UT—Governors want more than just a information process.  WGA—Plan to redraft and circulate by December 4, 2001; more detail would be added later.</w:t>
      </w:r>
    </w:p>
    <w:p>
      <w:pPr>
        <w:pStyle w:val="Header"/>
        <w:tabs>
          <w:tab w:val="clear" w:pos="4320"/>
          <w:tab w:val="clear" w:pos="8640"/>
        </w:tabs>
        <w:ind w:hanging="720" w:start="720" w:end="0"/>
        <w:jc w:val="both"/>
        <w:rPr/>
      </w:pPr>
      <w:r>
        <w:rPr/>
      </w:r>
    </w:p>
    <w:p>
      <w:pPr>
        <w:pStyle w:val="Header"/>
        <w:numPr>
          <w:ilvl w:val="0"/>
          <w:numId w:val="5"/>
        </w:numPr>
        <w:tabs>
          <w:tab w:val="clear" w:pos="4320"/>
          <w:tab w:val="clear" w:pos="8640"/>
          <w:tab w:val="left" w:pos="360" w:leader="none"/>
        </w:tabs>
        <w:ind w:hanging="360" w:start="360" w:end="0"/>
        <w:rPr>
          <w:b/>
          <w:bCs/>
          <w:i/>
          <w:i/>
          <w:iCs/>
        </w:rPr>
      </w:pPr>
      <w:r>
        <w:rPr>
          <w:b/>
          <w:bCs/>
          <w:i/>
          <w:iCs/>
        </w:rPr>
        <w:t>Noon adjournment followed by a closed session with CREPC members for a briefing on DOE’s legislative plans.</w:t>
      </w:r>
    </w:p>
    <w:p>
      <w:pPr>
        <w:pStyle w:val="Header"/>
        <w:tabs>
          <w:tab w:val="clear" w:pos="4320"/>
          <w:tab w:val="clear" w:pos="8640"/>
        </w:tabs>
        <w:jc w:val="both"/>
        <w:rPr>
          <w:b/>
          <w:bCs/>
          <w:i/>
          <w:i/>
          <w:iCs/>
        </w:rPr>
      </w:pPr>
      <w:r>
        <w:rPr>
          <w:b/>
          <w:bCs/>
          <w:i/>
          <w:iCs/>
        </w:rPr>
      </w:r>
    </w:p>
    <w:p>
      <w:pPr>
        <w:pStyle w:val="Header"/>
        <w:numPr>
          <w:ilvl w:val="0"/>
          <w:numId w:val="5"/>
        </w:numPr>
        <w:tabs>
          <w:tab w:val="clear" w:pos="4320"/>
          <w:tab w:val="clear" w:pos="8640"/>
        </w:tabs>
        <w:ind w:hanging="360" w:start="360" w:end="0"/>
        <w:rPr>
          <w:b/>
          <w:bCs/>
          <w:i/>
          <w:i/>
          <w:iCs/>
        </w:rPr>
      </w:pPr>
      <w:r>
        <w:rPr>
          <w:b/>
          <w:bCs/>
          <w:i/>
          <w:iCs/>
        </w:rPr>
        <w:t>Reconvened for general roundtable discussion from States on current activities.</w:t>
      </w:r>
    </w:p>
    <w:p>
      <w:pPr>
        <w:pStyle w:val="Header"/>
        <w:tabs>
          <w:tab w:val="clear" w:pos="4320"/>
          <w:tab w:val="clear" w:pos="8640"/>
        </w:tabs>
        <w:jc w:val="both"/>
        <w:rPr>
          <w:b/>
          <w:bCs/>
          <w:i/>
          <w:i/>
          <w:iCs/>
        </w:rPr>
      </w:pPr>
      <w:r>
        <w:rPr>
          <w:b/>
          <w:bCs/>
          <w:i/>
          <w:iCs/>
        </w:rPr>
      </w:r>
    </w:p>
    <w:p>
      <w:pPr>
        <w:pStyle w:val="Header"/>
        <w:tabs>
          <w:tab w:val="clear" w:pos="4320"/>
          <w:tab w:val="clear" w:pos="8640"/>
        </w:tabs>
        <w:ind w:hanging="360" w:start="720" w:end="0"/>
        <w:jc w:val="both"/>
        <w:rPr/>
      </w:pPr>
      <w:r>
        <w:rPr/>
        <w:t xml:space="preserve">Points of interest:  </w:t>
      </w:r>
    </w:p>
    <w:p>
      <w:pPr>
        <w:pStyle w:val="Header"/>
        <w:numPr>
          <w:ilvl w:val="0"/>
          <w:numId w:val="2"/>
        </w:numPr>
        <w:tabs>
          <w:tab w:val="clear" w:pos="4320"/>
          <w:tab w:val="clear" w:pos="8640"/>
        </w:tabs>
        <w:jc w:val="both"/>
        <w:rPr/>
      </w:pPr>
      <w:r>
        <w:rPr/>
        <w:t>Proposal by Navajo nation to build a 500 kV project from Four Corners to Glen Canyon to Moenkopi to Market Place (Las Vegas), which seems light on details by they control must of right-of-way on tribal lands.</w:t>
      </w:r>
    </w:p>
    <w:p>
      <w:pPr>
        <w:pStyle w:val="Header"/>
        <w:numPr>
          <w:ilvl w:val="0"/>
          <w:numId w:val="2"/>
        </w:numPr>
        <w:tabs>
          <w:tab w:val="clear" w:pos="4320"/>
          <w:tab w:val="clear" w:pos="8640"/>
        </w:tabs>
        <w:jc w:val="both"/>
        <w:rPr/>
      </w:pPr>
      <w:r>
        <w:rPr/>
        <w:t>Wyoming considering how to achieve greater access to market for their resources.</w:t>
      </w:r>
    </w:p>
    <w:p>
      <w:pPr>
        <w:pStyle w:val="Header"/>
        <w:numPr>
          <w:ilvl w:val="0"/>
          <w:numId w:val="2"/>
        </w:numPr>
        <w:tabs>
          <w:tab w:val="clear" w:pos="4320"/>
          <w:tab w:val="clear" w:pos="8640"/>
        </w:tabs>
        <w:jc w:val="both"/>
        <w:rPr/>
      </w:pPr>
      <w:r>
        <w:rPr/>
        <w:t>Utah, Wyoming, Oregon, Washington and Idaho are all dealing with PacifiCorp’s proposed corporate reorganization to a holding company structure.</w:t>
      </w:r>
    </w:p>
    <w:p>
      <w:pPr>
        <w:pStyle w:val="Header"/>
        <w:numPr>
          <w:ilvl w:val="0"/>
          <w:numId w:val="2"/>
        </w:numPr>
        <w:tabs>
          <w:tab w:val="clear" w:pos="4320"/>
          <w:tab w:val="clear" w:pos="8640"/>
        </w:tabs>
        <w:jc w:val="both"/>
        <w:rPr/>
      </w:pPr>
      <w:r>
        <w:rPr/>
        <w:t>CEC talked about the number of units built, while CPUC (Carl Wood) continues to blame others for their woes and talked about trying to get out of CDWR contracts because “they were negotiated under coersion.”</w:t>
      </w:r>
    </w:p>
    <w:p>
      <w:pPr>
        <w:pStyle w:val="Header"/>
        <w:tabs>
          <w:tab w:val="clear" w:pos="4320"/>
          <w:tab w:val="clear" w:pos="8640"/>
        </w:tabs>
        <w:ind w:start="720" w:end="0"/>
        <w:jc w:val="both"/>
        <w:rPr/>
      </w:pPr>
      <w:r>
        <w:rPr/>
      </w:r>
    </w:p>
    <w:p>
      <w:pPr>
        <w:pStyle w:val="Normal"/>
        <w:pBdr>
          <w:bottom w:val="single" w:sz="6" w:space="1" w:color="000000"/>
        </w:pBdr>
        <w:jc w:val="center"/>
        <w:rPr>
          <w:b/>
          <w:bCs/>
        </w:rPr>
      </w:pPr>
      <w:r>
        <w:rPr>
          <w:b/>
          <w:bCs/>
        </w:rPr>
      </w:r>
    </w:p>
    <w:p>
      <w:pPr>
        <w:pStyle w:val="Normal"/>
        <w:jc w:val="center"/>
        <w:rPr>
          <w:b/>
          <w:bCs/>
        </w:rPr>
      </w:pPr>
      <w:r>
        <w:rPr>
          <w:b/>
          <w:bCs/>
        </w:rPr>
      </w:r>
    </w:p>
    <w:p>
      <w:pPr>
        <w:pStyle w:val="Normal"/>
        <w:jc w:val="center"/>
        <w:rPr>
          <w:b/>
          <w:bCs/>
        </w:rPr>
      </w:pPr>
      <w:r>
        <w:rPr>
          <w:b/>
          <w:bCs/>
        </w:rPr>
      </w:r>
    </w:p>
    <w:p>
      <w:pPr>
        <w:pStyle w:val="Heading4"/>
        <w:ind w:hanging="0" w:start="0"/>
        <w:rPr/>
      </w:pPr>
      <w:r>
        <w:rPr/>
        <w:t>Thursday -- November 1, 2001</w:t>
      </w:r>
    </w:p>
    <w:p>
      <w:pPr>
        <w:pStyle w:val="Normal"/>
        <w:jc w:val="center"/>
        <w:rPr>
          <w:b/>
          <w:bCs/>
          <w:u w:val="single"/>
        </w:rPr>
      </w:pPr>
      <w:r>
        <w:rPr>
          <w:b/>
          <w:bCs/>
          <w:u w:val="single"/>
        </w:rPr>
      </w:r>
    </w:p>
    <w:p>
      <w:pPr>
        <w:pStyle w:val="Header"/>
        <w:tabs>
          <w:tab w:val="clear" w:pos="4320"/>
          <w:tab w:val="clear" w:pos="8640"/>
        </w:tabs>
        <w:rPr>
          <w:rFonts w:eastAsia="Arial"/>
        </w:rPr>
      </w:pPr>
      <w:r>
        <w:rPr>
          <w:rFonts w:eastAsia="Arial"/>
        </w:rPr>
        <w:t xml:space="preserve"> </w:t>
      </w:r>
    </w:p>
    <w:p>
      <w:pPr>
        <w:pStyle w:val="Header"/>
        <w:tabs>
          <w:tab w:val="clear" w:pos="4320"/>
          <w:tab w:val="clear" w:pos="8640"/>
        </w:tabs>
        <w:ind w:hanging="360" w:start="360" w:end="0"/>
        <w:rPr>
          <w:b/>
          <w:bCs/>
          <w:i/>
          <w:i/>
          <w:iCs/>
        </w:rPr>
      </w:pPr>
      <w:r>
        <w:rPr>
          <w:b/>
          <w:bCs/>
          <w:i/>
          <w:iCs/>
        </w:rPr>
        <w:t>1.  Meeting called to order by Chair Marsh Smith, Idaho PUC.  Nora Brownell, Kevin Kelly and Allison Silverstein of FERC welcomed.</w:t>
      </w:r>
    </w:p>
    <w:p>
      <w:pPr>
        <w:pStyle w:val="Header"/>
        <w:tabs>
          <w:tab w:val="clear" w:pos="4320"/>
          <w:tab w:val="clear" w:pos="8640"/>
        </w:tabs>
        <w:rPr>
          <w:b/>
          <w:bCs/>
          <w:i/>
          <w:i/>
          <w:iCs/>
        </w:rPr>
      </w:pPr>
      <w:r>
        <w:rPr>
          <w:b/>
          <w:bCs/>
          <w:i/>
          <w:iCs/>
        </w:rPr>
      </w:r>
    </w:p>
    <w:p>
      <w:pPr>
        <w:pStyle w:val="Heading2"/>
        <w:ind w:hanging="0" w:start="0"/>
        <w:rPr>
          <w:i/>
          <w:i/>
          <w:iCs/>
          <w:u w:val="none"/>
        </w:rPr>
      </w:pPr>
      <w:r>
        <w:rPr>
          <w:i/>
          <w:iCs/>
          <w:u w:val="none"/>
        </w:rPr>
        <w:t>2.  Western RTOs Status.</w:t>
      </w:r>
    </w:p>
    <w:p>
      <w:pPr>
        <w:pStyle w:val="Normal"/>
        <w:rPr>
          <w:i/>
          <w:i/>
          <w:iCs/>
          <w:u w:val="none"/>
        </w:rPr>
      </w:pPr>
      <w:r>
        <w:rPr>
          <w:i/>
          <w:iCs/>
          <w:u w:val="none"/>
        </w:rPr>
      </w:r>
    </w:p>
    <w:p>
      <w:pPr>
        <w:pStyle w:val="BodyTextIndent"/>
        <w:ind w:start="1080" w:end="0"/>
        <w:jc w:val="both"/>
        <w:rPr/>
      </w:pPr>
      <w:r>
        <w:rPr/>
        <w:t>Terry Winter, CAISO – There is a single Western Market, full open information to others makes things better, inter-state transmission planning is critical, single RTO may work eventually but “must properly structured”, one market must be in place even with three RTOs.</w:t>
      </w:r>
    </w:p>
    <w:p>
      <w:pPr>
        <w:pStyle w:val="BodyTextIndent"/>
        <w:rPr/>
      </w:pPr>
      <w:r>
        <w:rPr/>
      </w:r>
    </w:p>
    <w:p>
      <w:pPr>
        <w:pStyle w:val="BodyTextIndent"/>
        <w:ind w:start="1080" w:end="0"/>
        <w:jc w:val="both"/>
        <w:rPr/>
      </w:pPr>
      <w:r>
        <w:rPr/>
        <w:t>John Carr, PacifiCorp – RTO West governance and process approved in April to include geographic scope, Western scale and density is greatly different than PJM, report due on December 4 on Canadians and seams issues, BC Hydro is now a filing utility, comprehensive filing on March 1, 2002.</w:t>
      </w:r>
    </w:p>
    <w:p>
      <w:pPr>
        <w:pStyle w:val="BodyTextIndent"/>
        <w:ind w:start="1080" w:end="0"/>
        <w:rPr/>
      </w:pPr>
      <w:r>
        <w:rPr/>
      </w:r>
    </w:p>
    <w:p>
      <w:pPr>
        <w:pStyle w:val="BodyTextIndent"/>
        <w:ind w:start="1080" w:end="0"/>
        <w:jc w:val="both"/>
        <w:rPr/>
      </w:pPr>
      <w:r>
        <w:rPr/>
        <w:t>Ted Williams, Montana for TransConnect – Filing in November of modified governance to allow participation without divesture (Transmission Management Agreement), rate proposal with a cap and a shared savings feature and incentive for lowered A&amp;G and system expansion, planning expansion to be shared with RTO West details still being worked out.</w:t>
      </w:r>
    </w:p>
    <w:p>
      <w:pPr>
        <w:pStyle w:val="BodyTextIndent"/>
        <w:ind w:start="1080" w:end="0"/>
        <w:jc w:val="both"/>
        <w:rPr/>
      </w:pPr>
      <w:r>
        <w:rPr/>
      </w:r>
    </w:p>
    <w:p>
      <w:pPr>
        <w:pStyle w:val="BodyTextIndent2"/>
        <w:ind w:start="1080" w:end="0"/>
        <w:rPr/>
      </w:pPr>
      <w:r>
        <w:rPr/>
        <w:t xml:space="preserve">Cary Deise, APS for WestConnect – Only IOUs have subscribed (APS, PSNM, EPE,TEP) while SRP and WAPA are still considering, evolved from DSTAR.  Two participation series:  #1 is funding of the startup and #2 is the participation of assets allowing turn over operation, contribute assets or sell assets.  Class A—voting stock, Class B—independent trustee who votes as directed by board,  Class C—non voting shares that are represented by the Class B trustees but share in profits. Claim that protocols, except for P &amp; Q, are DSTAR board approved.  </w:t>
      </w:r>
    </w:p>
    <w:p>
      <w:pPr>
        <w:pStyle w:val="Normal"/>
        <w:ind w:hanging="720" w:start="1080" w:end="0"/>
        <w:jc w:val="both"/>
        <w:rPr/>
      </w:pPr>
      <w:r>
        <w:rPr/>
      </w:r>
    </w:p>
    <w:p>
      <w:pPr>
        <w:pStyle w:val="Normal"/>
        <w:ind w:hanging="720" w:start="1080" w:end="0"/>
        <w:jc w:val="both"/>
        <w:rPr/>
      </w:pPr>
      <w:r>
        <w:rPr/>
        <w:t>Comments:  Questions were raised about the voting structure which seems to confuse everyone.  The answer was unclear.</w:t>
      </w:r>
    </w:p>
    <w:p>
      <w:pPr>
        <w:pStyle w:val="Normal"/>
        <w:ind w:hanging="720" w:start="720" w:end="0"/>
        <w:jc w:val="both"/>
        <w:rPr/>
      </w:pPr>
      <w:r>
        <w:rPr/>
      </w:r>
    </w:p>
    <w:p>
      <w:pPr>
        <w:pStyle w:val="Heading3"/>
        <w:rPr>
          <w:i/>
          <w:i/>
          <w:iCs/>
          <w:u w:val="none"/>
        </w:rPr>
      </w:pPr>
      <w:r>
        <w:rPr>
          <w:i/>
          <w:iCs/>
          <w:u w:val="none"/>
        </w:rPr>
        <w:t>2.  Status of Seams Work.</w:t>
      </w:r>
    </w:p>
    <w:p>
      <w:pPr>
        <w:pStyle w:val="Normal"/>
        <w:ind w:hanging="720" w:start="720" w:end="0"/>
        <w:jc w:val="both"/>
        <w:rPr>
          <w:i/>
          <w:i/>
          <w:iCs/>
          <w:u w:val="none"/>
        </w:rPr>
      </w:pPr>
      <w:r>
        <w:rPr>
          <w:i/>
          <w:iCs/>
          <w:u w:val="none"/>
        </w:rPr>
      </w:r>
    </w:p>
    <w:p>
      <w:pPr>
        <w:pStyle w:val="Normal"/>
        <w:ind w:hanging="720" w:start="1080" w:end="0"/>
        <w:jc w:val="both"/>
        <w:rPr/>
      </w:pPr>
      <w:r>
        <w:rPr/>
        <w:t xml:space="preserve">Bud Krogh – Discussion of working groups, Western Market Vision (one market three organizations initially, tie RTOs together by agreement (shared service, one stop shopping and common standards), </w:t>
      </w:r>
    </w:p>
    <w:p>
      <w:pPr>
        <w:pStyle w:val="Normal"/>
        <w:ind w:hanging="720" w:start="1080" w:end="0"/>
        <w:jc w:val="both"/>
        <w:rPr/>
      </w:pPr>
      <w:r>
        <w:rPr/>
      </w:r>
    </w:p>
    <w:p>
      <w:pPr>
        <w:pStyle w:val="Normal"/>
        <w:ind w:hanging="720" w:start="1080" w:end="0"/>
        <w:jc w:val="both"/>
        <w:rPr/>
      </w:pPr>
      <w:r>
        <w:rPr/>
        <w:t>Wally Gibson, Northwest Power Planning Council – WMIC Seams Group looked congestion management (CM) eams interaction on the basis of a single west-wide market to facilitate information for RTOs to consider.  Working draft out in September but DSTAR to WestConnect morphed and then RTO West began shift in CM process.  Considered the different models considered by the RTOs to determine how they could fit together.</w:t>
      </w:r>
    </w:p>
    <w:p>
      <w:pPr>
        <w:pStyle w:val="Normal"/>
        <w:ind w:hanging="720" w:start="720" w:end="0"/>
        <w:jc w:val="both"/>
        <w:rPr/>
      </w:pPr>
      <w:r>
        <w:rPr/>
      </w:r>
    </w:p>
    <w:p>
      <w:pPr>
        <w:pStyle w:val="Normal"/>
        <w:numPr>
          <w:ilvl w:val="0"/>
          <w:numId w:val="3"/>
        </w:numPr>
        <w:tabs>
          <w:tab w:val="clear" w:pos="720"/>
        </w:tabs>
        <w:ind w:hanging="360" w:start="360" w:end="0"/>
        <w:jc w:val="both"/>
        <w:rPr/>
      </w:pPr>
      <w:r>
        <w:rPr>
          <w:b/>
          <w:bCs/>
          <w:i/>
          <w:iCs/>
        </w:rPr>
        <w:t>Discussion of Common/Compatible Systems.</w:t>
      </w:r>
    </w:p>
    <w:p>
      <w:pPr>
        <w:pStyle w:val="Normal"/>
        <w:ind w:start="360" w:end="0"/>
        <w:jc w:val="both"/>
        <w:rPr/>
      </w:pPr>
      <w:r>
        <w:rPr/>
      </w:r>
    </w:p>
    <w:p>
      <w:pPr>
        <w:pStyle w:val="BodyTextIndent3"/>
        <w:rPr/>
      </w:pPr>
      <w:r>
        <w:rPr/>
        <w:t>Don Watkins, BPA for Common System Interface Committee – Made up primarily of operational people and focused on systems coordination and seamless interfaces.</w:t>
      </w:r>
    </w:p>
    <w:p>
      <w:pPr>
        <w:pStyle w:val="BodyTextIndent3"/>
        <w:rPr/>
      </w:pPr>
      <w:r>
        <w:rPr/>
      </w:r>
    </w:p>
    <w:p>
      <w:pPr>
        <w:pStyle w:val="Normal"/>
        <w:ind w:hanging="720" w:start="720" w:end="0"/>
        <w:jc w:val="both"/>
        <w:rPr>
          <w:b/>
          <w:bCs/>
          <w:i/>
          <w:i/>
          <w:iCs/>
        </w:rPr>
      </w:pPr>
      <w:r>
        <w:rPr>
          <w:b/>
          <w:bCs/>
          <w:i/>
          <w:iCs/>
        </w:rPr>
        <w:t>4.  Discussion of Common/Compatible Systems.</w:t>
      </w:r>
    </w:p>
    <w:p>
      <w:pPr>
        <w:pStyle w:val="Normal"/>
        <w:ind w:hanging="720" w:start="720" w:end="0"/>
        <w:jc w:val="both"/>
        <w:rPr>
          <w:b/>
          <w:bCs/>
          <w:i/>
          <w:i/>
          <w:iCs/>
        </w:rPr>
      </w:pPr>
      <w:r>
        <w:rPr>
          <w:b/>
          <w:bCs/>
          <w:i/>
          <w:iCs/>
        </w:rPr>
      </w:r>
    </w:p>
    <w:p>
      <w:pPr>
        <w:pStyle w:val="BodyTextIndent3"/>
        <w:rPr/>
      </w:pPr>
      <w:r>
        <w:rPr/>
        <w:t xml:space="preserve">Mark Maher, BPA for RTO West --  RTO West believes a strong planning process is needed with backstop ability to act where reliability problems exist.  Building for market power mitigation not yet considered and goes to market monitoring issues.  RTO West would take solutions where “lights going out” would be anticipated and addressed, however, for congestions issues when should RTO step it?  No bright line to identify so establish a strong independent board which can act on a case by case basis with market input.  Don’t want to tie hands of board on matter.  Ability to order TOs to build has yet to be resolved.  With questions from Kevin Kelly, the answer was that if the TO wouldn’t build, Board could bring in a new party to build and charge the beneficiaries for the construction cost.  </w:t>
      </w:r>
    </w:p>
    <w:p>
      <w:pPr>
        <w:pStyle w:val="BodyTextIndent3"/>
        <w:rPr/>
      </w:pPr>
      <w:r>
        <w:rPr/>
      </w:r>
    </w:p>
    <w:p>
      <w:pPr>
        <w:pStyle w:val="BodyTextIndent3"/>
        <w:rPr/>
      </w:pPr>
      <w:r>
        <w:rPr/>
        <w:t xml:space="preserve">Ted Williams, Montana Power for TransConnect – RTO West would have the ultimate planning responsibility.  Criticism was that non-transmission alternatives.  If solution is not transmission they can’t implement.  If there is a congestion problem to be solve and they make and investment, then they risk under performing assets if it is not the least cost outcome.  Protocol would require RTO to turn over interconnection studies for study, but RTO would take output and make final decisions.  Push for a timeline for RTO West to respond within 60 days to proposals made by TransConnect.  Use RTO West’s dispute resolution process.  </w:t>
      </w:r>
    </w:p>
    <w:p>
      <w:pPr>
        <w:pStyle w:val="BodyTextIndent3"/>
        <w:rPr/>
      </w:pPr>
      <w:r>
        <w:rPr/>
      </w:r>
    </w:p>
    <w:p>
      <w:pPr>
        <w:pStyle w:val="BodyTextIndent3"/>
        <w:rPr/>
      </w:pPr>
      <w:r>
        <w:rPr/>
        <w:t>Ed Beck, Tucson Electric for WestConnect – Planning claimed to be based on the DSTAR documents.  Work group will be organized with staff support, to consider the standard list of issues—system, enviro, market, etc.  Each TO will do studies for their own system for adequacy.  WestConnect will hold meetings to take input.  TOs have right of first refusal to build projects.  Questions were raised about this exclusivity relative to such projects as Din</w:t>
      </w:r>
      <w:r>
        <w:rPr>
          <w:rFonts w:cs="Arial"/>
        </w:rPr>
        <w:t>é</w:t>
      </w:r>
      <w:r>
        <w:rPr/>
        <w:t xml:space="preserve"> Power Authority’s Navajo Transmission Project.  The answer was not clear and exposed a hole for consideration of merchant projects.</w:t>
      </w:r>
    </w:p>
    <w:p>
      <w:pPr>
        <w:pStyle w:val="BodyTextIndent3"/>
        <w:rPr/>
      </w:pPr>
      <w:r>
        <w:rPr/>
      </w:r>
    </w:p>
    <w:p>
      <w:pPr>
        <w:pStyle w:val="BodyTextIndent3"/>
        <w:rPr/>
      </w:pPr>
      <w:r>
        <w:rPr/>
        <w:t>Jeff Miller, CAISO – Reviewed current process and indicated that they have no difficulty in planning for needs, although they see a need to consider mitigation of market power and other commercial issues.  They have not had merchant transmission projects because the congestion management system give the benefits to competitors as well as to the builder. (Ed. Note: They don’t have a property right defined for long term and don’t recognize the concept of forward sale of capacity.)</w:t>
      </w:r>
    </w:p>
    <w:p>
      <w:pPr>
        <w:pStyle w:val="BodyTextIndent3"/>
        <w:rPr/>
      </w:pPr>
      <w:r>
        <w:rPr/>
      </w:r>
    </w:p>
    <w:p>
      <w:pPr>
        <w:pStyle w:val="BodyTextIndent3"/>
        <w:rPr/>
      </w:pPr>
      <w:r>
        <w:rPr/>
        <w:t xml:space="preserve">Ron Nunnally, SCE for WECC – Update on WECC formation, final approvals in December and formation in April. </w:t>
        <w:tab/>
        <w:t>Planning role will be coordination much as it is today—studies, rating process, etc.  Will be ordering anyone to build because they are not a RTO.  Will make assessments of generation and load balance and the adequacy of the infrastructure.</w:t>
      </w:r>
    </w:p>
    <w:p>
      <w:pPr>
        <w:pStyle w:val="BodyTextIndent3"/>
        <w:rPr/>
      </w:pPr>
      <w:r>
        <w:rPr/>
      </w:r>
    </w:p>
    <w:p>
      <w:pPr>
        <w:pStyle w:val="BodyTextIndent3"/>
        <w:ind w:hanging="360" w:start="360" w:end="0"/>
        <w:jc w:val="start"/>
        <w:rPr>
          <w:b/>
          <w:bCs/>
          <w:i/>
          <w:i/>
          <w:iCs/>
        </w:rPr>
      </w:pPr>
      <w:r>
        <w:rPr>
          <w:b/>
          <w:bCs/>
          <w:i/>
          <w:iCs/>
        </w:rPr>
        <w:t>6.  Chair Marsha Smith reconvened after lunch and welcomed FERC Chairman Pat Wood to the meeting.</w:t>
      </w:r>
    </w:p>
    <w:p>
      <w:pPr>
        <w:pStyle w:val="BodyTextIndent3"/>
        <w:rPr>
          <w:b/>
          <w:bCs/>
          <w:i/>
          <w:i/>
          <w:iCs/>
        </w:rPr>
      </w:pPr>
      <w:r>
        <w:rPr>
          <w:b/>
          <w:bCs/>
          <w:i/>
          <w:iCs/>
        </w:rPr>
      </w:r>
    </w:p>
    <w:p>
      <w:pPr>
        <w:pStyle w:val="BodyTextIndent3"/>
        <w:ind w:hanging="360" w:start="360" w:end="0"/>
        <w:rPr>
          <w:b/>
          <w:bCs/>
          <w:i/>
          <w:i/>
          <w:iCs/>
        </w:rPr>
      </w:pPr>
      <w:r>
        <w:rPr>
          <w:b/>
          <w:bCs/>
          <w:i/>
          <w:iCs/>
        </w:rPr>
        <w:t>7.  Pricing Reciprocity.</w:t>
      </w:r>
    </w:p>
    <w:p>
      <w:pPr>
        <w:pStyle w:val="BodyTextIndent3"/>
        <w:rPr>
          <w:b/>
          <w:bCs/>
          <w:i/>
          <w:i/>
          <w:iCs/>
        </w:rPr>
      </w:pPr>
      <w:r>
        <w:rPr>
          <w:b/>
          <w:bCs/>
          <w:i/>
          <w:iCs/>
        </w:rPr>
      </w:r>
    </w:p>
    <w:p>
      <w:pPr>
        <w:pStyle w:val="BodyTextIndent3"/>
        <w:rPr/>
      </w:pPr>
      <w:r>
        <w:rPr/>
        <w:t>Cindy Crane, PacifiCorp – California started with license plate approach but moving to common price.  RTO West is also license plate by company or Company Rates with transfer payments but export fee waiver.  WestConnect is license plate by area but essentially by company and export fee.  All are load based pricing from which to start the reciprocity discussion.</w:t>
      </w:r>
    </w:p>
    <w:p>
      <w:pPr>
        <w:pStyle w:val="BodyTextIndent3"/>
        <w:rPr/>
      </w:pPr>
      <w:r>
        <w:rPr/>
      </w:r>
    </w:p>
    <w:p>
      <w:pPr>
        <w:pStyle w:val="BodyTextIndent3"/>
        <w:rPr/>
      </w:pPr>
      <w:r>
        <w:rPr/>
        <w:t>Steve Greeleaf, CAISO – Four options identified for reciprocity by SSG-WI:  (1) Reciprocity of wheeling charges between RTOs but not grid management charges, etc.; (2) Transfer payments between RTOs, waiving both wheeling and administrative charges, settle en masse among parties on an annual basis;  (3)  Same as #2 but the payments would take place between the RTOs; and (4)  Uniform west-wide wheeling charge, i.e., keep export fees but have a single price.  Proposals should eliminate trade barriers, treat all fairly, mitigate price shifts and be simple.</w:t>
      </w:r>
    </w:p>
    <w:p>
      <w:pPr>
        <w:pStyle w:val="BodyTextIndent3"/>
        <w:rPr/>
      </w:pPr>
      <w:r>
        <w:rPr/>
      </w:r>
    </w:p>
    <w:p>
      <w:pPr>
        <w:pStyle w:val="BodyTextIndent3"/>
        <w:rPr/>
      </w:pPr>
      <w:r>
        <w:rPr/>
        <w:t xml:space="preserve">Joel Spitzkoff, APS for West Connect – For exporting RTOs, forgiving export fees causes internal costs to go up.  Narrowed options by eliinating #2 because tracking the TOs over time becomes impractical.  Want to further limit options, but data for evaluation are difficult since export rate not determined yet for RTO West and WestConnect.  </w:t>
      </w:r>
    </w:p>
    <w:p>
      <w:pPr>
        <w:pStyle w:val="BodyTextIndent3"/>
        <w:rPr/>
      </w:pPr>
      <w:r>
        <w:rPr/>
      </w:r>
    </w:p>
    <w:p>
      <w:pPr>
        <w:pStyle w:val="BodyTextIndent3"/>
        <w:rPr/>
      </w:pPr>
      <w:r>
        <w:rPr/>
        <w:t xml:space="preserve">Questions Pat Wood – </w:t>
      </w:r>
      <w:r>
        <w:rPr>
          <w:u w:val="single"/>
        </w:rPr>
        <w:t>Q:</w:t>
      </w:r>
      <w:r>
        <w:rPr/>
        <w:t xml:space="preserve"> Do these options affect the ability to build?  </w:t>
      </w:r>
      <w:r>
        <w:rPr>
          <w:u w:val="single"/>
        </w:rPr>
        <w:t>A:</w:t>
      </w:r>
      <w:r>
        <w:rPr/>
        <w:t xml:space="preserve"> (Spitzkoff) The system expansion deals </w:t>
      </w:r>
      <w:r>
        <w:rPr>
          <w:u w:val="single"/>
        </w:rPr>
        <w:t>Q:</w:t>
      </w:r>
      <w:r>
        <w:rPr/>
        <w:t xml:space="preserve"> Where are regions in import/export relationship?  </w:t>
      </w:r>
      <w:r>
        <w:rPr>
          <w:u w:val="single"/>
        </w:rPr>
        <w:t>A:</w:t>
      </w:r>
      <w:r>
        <w:rPr/>
        <w:t xml:space="preserve">  (Greeleaf) California is the importer the others are the exporters.  </w:t>
      </w:r>
      <w:r>
        <w:rPr>
          <w:u w:val="single"/>
        </w:rPr>
        <w:t>Q:</w:t>
      </w:r>
      <w:r>
        <w:rPr/>
        <w:t xml:space="preserve">  In that case the preferences are clear, will more staff work really make a difference?  </w:t>
      </w:r>
      <w:r>
        <w:rPr>
          <w:u w:val="single"/>
        </w:rPr>
        <w:t>A:</w:t>
      </w:r>
      <w:r>
        <w:rPr/>
        <w:t xml:space="preserve">  (Crane) Issue is balancing inside as well as outside.  </w:t>
      </w:r>
      <w:r>
        <w:rPr>
          <w:u w:val="single"/>
        </w:rPr>
        <w:t>Q:</w:t>
      </w:r>
      <w:r>
        <w:rPr/>
        <w:t xml:space="preserve"> How would waiver proposal work:  </w:t>
      </w:r>
      <w:r>
        <w:rPr>
          <w:u w:val="single"/>
        </w:rPr>
        <w:t>A:</w:t>
      </w:r>
      <w:r>
        <w:rPr/>
        <w:t xml:space="preserve"> (Crane) Most of wheeling through cost in RTO West are currently between parties.  (Spitzkoff) current revenues of $70 million or so lost if they give up export fees, which raises internal costs.  (Green) Trying to take a broader proposals, California realizes there is a revenue shortfall.  Can’t focus just on transmission cost when addressing problems.  </w:t>
      </w:r>
    </w:p>
    <w:p>
      <w:pPr>
        <w:pStyle w:val="BodyTextIndent3"/>
        <w:rPr/>
      </w:pPr>
      <w:r>
        <w:rPr/>
      </w:r>
    </w:p>
    <w:p>
      <w:pPr>
        <w:pStyle w:val="BodyTextIndent3"/>
        <w:numPr>
          <w:ilvl w:val="0"/>
          <w:numId w:val="4"/>
        </w:numPr>
        <w:tabs>
          <w:tab w:val="clear" w:pos="720"/>
        </w:tabs>
        <w:ind w:hanging="360" w:start="360" w:end="0"/>
        <w:rPr>
          <w:b/>
          <w:bCs/>
          <w:i/>
          <w:i/>
          <w:iCs/>
        </w:rPr>
      </w:pPr>
      <w:r>
        <w:rPr>
          <w:b/>
          <w:bCs/>
          <w:i/>
          <w:iCs/>
        </w:rPr>
        <w:t>State/FERC Roundtable Discussion.</w:t>
      </w:r>
    </w:p>
    <w:p>
      <w:pPr>
        <w:pStyle w:val="BodyTextIndent3"/>
        <w:ind w:hanging="0" w:start="360" w:end="0"/>
        <w:rPr>
          <w:b/>
          <w:bCs/>
          <w:i/>
          <w:i/>
          <w:iCs/>
        </w:rPr>
      </w:pPr>
      <w:r>
        <w:rPr>
          <w:b/>
          <w:bCs/>
          <w:i/>
          <w:iCs/>
        </w:rPr>
      </w:r>
    </w:p>
    <w:p>
      <w:pPr>
        <w:pStyle w:val="BodyTextIndent3"/>
        <w:rPr/>
      </w:pPr>
      <w:r>
        <w:rPr/>
        <w:t xml:space="preserve">Pat Wood, FERC – Want to set up markets that work for customers so we don’t have problems like those of the immediate past.  Hopeful for the work going on in the West.  Need to keep critical infrastructure in place to avoid a repeat.  </w:t>
      </w:r>
    </w:p>
    <w:p>
      <w:pPr>
        <w:pStyle w:val="BodyTextIndent3"/>
        <w:rPr/>
      </w:pPr>
      <w:r>
        <w:rPr/>
      </w:r>
    </w:p>
    <w:p>
      <w:pPr>
        <w:pStyle w:val="BodyTextIndent3"/>
        <w:rPr/>
      </w:pPr>
      <w:r>
        <w:rPr/>
        <w:t>Bob Anderson, MT PSC asked about how much $75 million represented.  The answer for RTO West is about 1/3 mill/kWh if spread wide or even less if spread wider.</w:t>
      </w:r>
    </w:p>
    <w:p>
      <w:pPr>
        <w:pStyle w:val="BodyTextIndent3"/>
        <w:rPr/>
      </w:pPr>
      <w:r>
        <w:rPr/>
      </w:r>
    </w:p>
    <w:p>
      <w:pPr>
        <w:pStyle w:val="BodyTextIndent3"/>
        <w:rPr/>
      </w:pPr>
      <w:r>
        <w:rPr/>
        <w:t xml:space="preserve">Steve Ellenbecker, WY PSC – Urge FERC of RTO formation and initiation so something gets built.  The RTO needs to direct construction and not just depend upon the TOs.  Fear that RTOs will be self serving if not fully independent so they will be neutral to other parties.  </w:t>
      </w:r>
    </w:p>
    <w:p>
      <w:pPr>
        <w:pStyle w:val="BodyTextIndent3"/>
        <w:rPr/>
      </w:pPr>
      <w:r>
        <w:rPr/>
      </w:r>
    </w:p>
    <w:p>
      <w:pPr>
        <w:pStyle w:val="BodyTextIndent3"/>
        <w:rPr/>
      </w:pPr>
      <w:r>
        <w:rPr/>
        <w:t>Phil Carver, OR Office of Energy – Transmission tends to be base load as opposed to peaking like peak generation or demand side.  If transmission is built by load based access fees, then in a least cost world don’t you have a conflict.  (Kevin Kelly Response) What should be the role of RTO in least cost planning.  Not much guidance in FERC orders.  Some think it is desirable to go beyond building minimum transmission and look to role in getting generation capacity built (ICAP or other method).  Need mechanisms for trading demand trades across the RTOs platforms.  Allison Silverstein added that the RTO is the servant of the region, so should meet multiple goals, with states having a strong role.</w:t>
      </w:r>
    </w:p>
    <w:p>
      <w:pPr>
        <w:pStyle w:val="BodyTextIndent3"/>
        <w:rPr/>
      </w:pPr>
      <w:r>
        <w:rPr/>
      </w:r>
    </w:p>
    <w:p>
      <w:pPr>
        <w:pStyle w:val="BodyTextIndent3"/>
        <w:rPr/>
      </w:pPr>
      <w:r>
        <w:rPr/>
        <w:t>Denice Molinoliry, BC Commission – Want to keep barriers to trade down to help all parties.  Is FERC able to accept parallel jurisdiction to deal with international borders and still concerned with the lack of specificity on planning.  (Pat Wood Response) When you look at the electrical network, the inter-national boundary is really not a boundary, so willing to work out a procedure that works.</w:t>
      </w:r>
    </w:p>
    <w:p>
      <w:pPr>
        <w:pStyle w:val="BodyTextIndent3"/>
        <w:rPr/>
      </w:pPr>
      <w:r>
        <w:rPr/>
      </w:r>
    </w:p>
    <w:p>
      <w:pPr>
        <w:pStyle w:val="BodyTextIndent3"/>
        <w:rPr/>
      </w:pPr>
      <w:r>
        <w:rPr/>
        <w:t>Jerry Smith, AZ Commission Staff – Responding to the issue of WECC’s role raised earlier, said that their role and that of states is a backstop to make sure effective planning takes place.  (Pat Wood) Was the WGA study just a roll up or did it look at the full system?  Is it okay to have planning originate at the RTO level  (Jerry Smith Response) I think the three RTOs can work.  If there are holes in the collective problem, then broader studies come arise out of WECC.</w:t>
      </w:r>
    </w:p>
    <w:p>
      <w:pPr>
        <w:pStyle w:val="BodyTextIndent3"/>
        <w:rPr/>
      </w:pPr>
      <w:r>
        <w:rPr/>
      </w:r>
    </w:p>
    <w:p>
      <w:pPr>
        <w:pStyle w:val="BodyTextIndent3"/>
        <w:rPr/>
      </w:pPr>
      <w:r>
        <w:rPr/>
        <w:t xml:space="preserve">Dick Hempsted, WA UTC – What is the appropriate rate of return for transmission?  We seem to be heading down a path where an extraordinary right of return to get expansion to occur.  This would seems to skew the decision to build transmission.  </w:t>
      </w:r>
    </w:p>
    <w:p>
      <w:pPr>
        <w:pStyle w:val="BodyTextIndent3"/>
        <w:rPr/>
      </w:pPr>
      <w:r>
        <w:rPr/>
      </w:r>
    </w:p>
    <w:p>
      <w:pPr>
        <w:pStyle w:val="BodyTextIndent3"/>
        <w:rPr/>
      </w:pPr>
      <w:r>
        <w:rPr/>
        <w:t xml:space="preserve">Bill Keyes, CEC – We have imported 25% of energy in the past.  When ability to import dropped, a problem was created.  New development is growing rapidly and will chase out inefficient amounts.  The possibility exists that CA will not be a long term importer.  </w:t>
      </w:r>
    </w:p>
    <w:p>
      <w:pPr>
        <w:pStyle w:val="BodyTextIndent3"/>
        <w:rPr/>
      </w:pPr>
      <w:r>
        <w:rPr/>
      </w:r>
    </w:p>
    <w:p>
      <w:pPr>
        <w:pStyle w:val="BodyTextIndent3"/>
        <w:rPr/>
      </w:pPr>
      <w:r>
        <w:rPr/>
        <w:t>Terry Winter, CAISO – Is transmission competing with generation or is an enabler of markets?  The major issue with lines is not the cost but the difficulty if siting.  Pushing for an infrastructure to be put in place to that allows the market to go ahead.  If we restrict transmission line siting, then we get generation claiming to be paid for deferring transmission.  (Marsha Smith Response)  We all don’t agree that markets provide unmitigated benefits.</w:t>
      </w:r>
    </w:p>
    <w:p>
      <w:pPr>
        <w:pStyle w:val="BodyTextIndent3"/>
        <w:rPr/>
      </w:pPr>
      <w:r>
        <w:rPr/>
      </w:r>
    </w:p>
    <w:p>
      <w:pPr>
        <w:pStyle w:val="BodyTextIndent3"/>
        <w:rPr/>
      </w:pPr>
      <w:r>
        <w:rPr/>
        <w:t>Commissioner Lovejoy, NM Commission – New Mexico has a pending case to look at RTOs and how they would work in the state.  We have to prove that benefits must be shown before assets are transferred.  (Nora Brownell Response) Understand these are major decisions, so please provide your comments to FERC.</w:t>
      </w:r>
    </w:p>
    <w:p>
      <w:pPr>
        <w:pStyle w:val="BodyTextIndent3"/>
        <w:rPr/>
      </w:pPr>
      <w:r>
        <w:rPr/>
      </w:r>
    </w:p>
    <w:p>
      <w:pPr>
        <w:pStyle w:val="BodyTextIndent3"/>
        <w:rPr/>
      </w:pPr>
      <w:r>
        <w:rPr/>
        <w:t xml:space="preserve">Carl Wood, CPUC – Least cost solution to transmission versus generation is not just a market option.  There is another solution, to go back to a regulated utility with owned generation.  States should be free to pursue the old path as well.  (Dick Hempsted Response) Agree so FERC should be neutral.  (Marsha Smith Response)  But that doesn’t preclude RTOs which enables wholesale competition.  (Pat Wood) Agree that wholesale is the FERC game, it doesn’t mean you have to have a retail market.  States side by side can choose to have unbundled retail or not.  Wholesale competition benefits both.  Our job is making the wholesale market work.  </w:t>
      </w:r>
    </w:p>
    <w:p>
      <w:pPr>
        <w:pStyle w:val="BodyTextIndent3"/>
        <w:rPr/>
      </w:pPr>
      <w:r>
        <w:rPr/>
      </w:r>
    </w:p>
    <w:p>
      <w:pPr>
        <w:pStyle w:val="BodyTextIndent3"/>
        <w:rPr/>
      </w:pPr>
      <w:r>
        <w:rPr/>
        <w:t xml:space="preserve">Marsha Smith, IPUC – Under state law, the state has to approve the transfer of assets to an RTO.  After that what is the state role and how to they get it?  There is the fear that after that you no longer have any leverage.  (Nora Brownell Response)  We are moving to a new world and are uncomfortable with change.  Incumbent on all to consider how we manage going forward such as with co-adjudication, governance, etc.  FERC considering regional panels to address this issues.  Need to change the way we approach the problems.  Neither States nor FERC are set up to deal with issues as regional.  </w:t>
      </w:r>
    </w:p>
    <w:p>
      <w:pPr>
        <w:pStyle w:val="BodyTextIndent3"/>
        <w:rPr/>
      </w:pPr>
      <w:r>
        <w:rPr/>
      </w:r>
    </w:p>
    <w:p>
      <w:pPr>
        <w:pStyle w:val="BodyTextIndent3"/>
        <w:numPr>
          <w:ilvl w:val="0"/>
          <w:numId w:val="4"/>
        </w:numPr>
        <w:tabs>
          <w:tab w:val="clear" w:pos="720"/>
        </w:tabs>
        <w:ind w:hanging="360" w:start="360" w:end="0"/>
        <w:rPr>
          <w:b/>
          <w:bCs/>
          <w:i/>
          <w:i/>
          <w:iCs/>
        </w:rPr>
      </w:pPr>
      <w:r>
        <w:rPr>
          <w:b/>
          <w:bCs/>
          <w:i/>
          <w:iCs/>
        </w:rPr>
        <w:t xml:space="preserve">Congestion Management. </w:t>
      </w:r>
    </w:p>
    <w:p>
      <w:pPr>
        <w:pStyle w:val="BodyTextIndent3"/>
        <w:ind w:hanging="0" w:start="360" w:end="0"/>
        <w:rPr>
          <w:b/>
          <w:bCs/>
          <w:i/>
          <w:i/>
          <w:iCs/>
        </w:rPr>
      </w:pPr>
      <w:r>
        <w:rPr>
          <w:b/>
          <w:bCs/>
          <w:i/>
          <w:iCs/>
        </w:rPr>
      </w:r>
    </w:p>
    <w:p>
      <w:pPr>
        <w:pStyle w:val="BodyTextIndent3"/>
        <w:rPr/>
      </w:pPr>
      <w:r>
        <w:rPr/>
        <w:t xml:space="preserve">Chuck Durick, Idaho Power – RTO wants tradeable rights.  Year long exercise in trying to slice up the rights, but when recombined the system is over committed.  Yet in reality the simultaneous usage meets all needs.  Shifting to focus on serving the load reliably.  Solution is to have RTO take all capacity, aggregate obligations for load service, and releases additional transmission as tradable.  The old contracts are not tradable but load served.  You can convert to tradable rights and has extra value.  Use financial transmission rights defined bus to bus with segmentation possible on a hub to hub basis.  Not a contract path or flow gate model.  In day-ahead and real-time market accept all schedules with a bid-based redispatch with locational prices.  Demand can also bid into redispatch.  Willing to grant board a lot of authority to change as time goes.  Initial proposal is for three years only so there is a re-opener.  </w:t>
      </w:r>
    </w:p>
    <w:p>
      <w:pPr>
        <w:pStyle w:val="BodyTextIndent3"/>
        <w:ind w:hanging="0" w:start="360" w:end="0"/>
        <w:rPr/>
      </w:pPr>
      <w:r>
        <w:rPr/>
      </w:r>
    </w:p>
    <w:p>
      <w:pPr>
        <w:pStyle w:val="BodyTextIndent3"/>
        <w:rPr/>
      </w:pPr>
      <w:r>
        <w:rPr/>
        <w:t>Steve Greenleaf, CAISO – For the past three years, operation has been on a zonal basis.  Method manages congestion between the zones based on adjustment bids which are an implicit bid for transmission capacity.  Usage charges are for congestion with rents to rights holders or owners.  Intrazonal congestion was assumed to be small and socialize to the loads.  Claims for Western conditions imposing different operational constraints, nomograms, etc.  Fundamentals:  Real time market based on full network model and location specific pricing.  Forward-market management congestion establishing Local Pricing Areas.  Release 100% of ATC as FTRs.  Need flexibility for design of pricing models based on fundamentals.  Don’t want the forward market excessively complicated.</w:t>
      </w:r>
    </w:p>
    <w:p>
      <w:pPr>
        <w:pStyle w:val="BodyTextIndent3"/>
        <w:ind w:hanging="0" w:start="360" w:end="0"/>
        <w:rPr/>
      </w:pPr>
      <w:r>
        <w:rPr/>
      </w:r>
    </w:p>
    <w:p>
      <w:pPr>
        <w:pStyle w:val="BodyTextIndent3"/>
        <w:rPr/>
      </w:pPr>
      <w:r>
        <w:rPr/>
        <w:t xml:space="preserve">Joel Spitzkoff, APS for WestConnect – Still working with a physical rights model.  FTRs issues up to OTC minus non-converted rights (pre-existing obligations).  Recallable rights and non-firm rights added into to release unused rights.  Rights are to schedule between zones or to scheduling points (boundaries with others).  Interaction will not be seamless under the current proposal.  Mismatch of residual congestion uplifted.  Contracts must be converted, but transfer payments will continue through the term of the agreement. </w:t>
      </w:r>
    </w:p>
    <w:p>
      <w:pPr>
        <w:pStyle w:val="BodyTextIndent3"/>
        <w:rPr/>
      </w:pPr>
      <w:r>
        <w:rPr/>
      </w:r>
    </w:p>
    <w:p>
      <w:pPr>
        <w:pStyle w:val="BodyTextIndent3"/>
        <w:rPr/>
      </w:pPr>
      <w:r>
        <w:rPr>
          <w:u w:val="single"/>
        </w:rPr>
        <w:t>Discussion</w:t>
      </w:r>
      <w:r>
        <w:rPr/>
        <w:t>:</w:t>
      </w:r>
    </w:p>
    <w:p>
      <w:pPr>
        <w:pStyle w:val="BodyTextIndent3"/>
        <w:rPr/>
      </w:pPr>
      <w:r>
        <w:rPr/>
      </w:r>
    </w:p>
    <w:p>
      <w:pPr>
        <w:pStyle w:val="BodyTextIndent3"/>
        <w:rPr/>
      </w:pPr>
      <w:r>
        <w:rPr/>
        <w:t xml:space="preserve">Larry Nordel, MT DEQ – If trying to move energy then system is committed, but actual loads are quite light.  Will your system recognize this and access this usable capacity:  (Steve Greenleaf Response) On a day-ahead basis they remove a good deal of capacity off the table to honor existing contracts and then never fully utilized.  Some parties are really paying phantom congestion because capacity is not fully utilized.  The CA approach needs to be changed.  (Joel Spitzkoff Response) Not contemplated that hoarding will occur because they have to pay for it.  (Chuck Durick Response)  Aggregation of load and accept all schedules is intended to do this.  </w:t>
      </w:r>
    </w:p>
    <w:p>
      <w:pPr>
        <w:pStyle w:val="BodyTextIndent3"/>
        <w:ind w:hanging="0" w:start="360" w:end="0"/>
        <w:rPr/>
      </w:pPr>
      <w:r>
        <w:rPr/>
      </w:r>
    </w:p>
    <w:p>
      <w:pPr>
        <w:pStyle w:val="BodyTextIndent3"/>
        <w:keepNext w:val="true"/>
        <w:keepLines/>
        <w:numPr>
          <w:ilvl w:val="0"/>
          <w:numId w:val="4"/>
        </w:numPr>
        <w:tabs>
          <w:tab w:val="clear" w:pos="720"/>
        </w:tabs>
        <w:ind w:hanging="360" w:start="360" w:end="0"/>
        <w:jc w:val="start"/>
        <w:rPr>
          <w:b/>
          <w:bCs/>
          <w:i/>
          <w:i/>
          <w:iCs/>
        </w:rPr>
      </w:pPr>
      <w:r>
        <w:rPr>
          <w:rFonts w:eastAsia="Arial"/>
          <w:b/>
          <w:bCs/>
          <w:i/>
          <w:iCs/>
        </w:rPr>
        <w:t xml:space="preserve">  </w:t>
      </w:r>
      <w:r>
        <w:rPr>
          <w:b/>
          <w:bCs/>
          <w:i/>
          <w:iCs/>
        </w:rPr>
        <w:t xml:space="preserve">Marketing Monitoring. </w:t>
      </w:r>
    </w:p>
    <w:p>
      <w:pPr>
        <w:pStyle w:val="BodyTextIndent3"/>
        <w:keepNext w:val="true"/>
        <w:keepLines/>
        <w:ind w:hanging="0" w:start="360" w:end="0"/>
        <w:rPr>
          <w:b/>
          <w:bCs/>
          <w:i/>
          <w:i/>
          <w:iCs/>
        </w:rPr>
      </w:pPr>
      <w:r>
        <w:rPr>
          <w:b/>
          <w:bCs/>
          <w:i/>
          <w:iCs/>
        </w:rPr>
      </w:r>
    </w:p>
    <w:p>
      <w:pPr>
        <w:pStyle w:val="BodyTextIndent3"/>
        <w:keepNext w:val="true"/>
        <w:keepLines/>
        <w:rPr/>
      </w:pPr>
      <w:r>
        <w:rPr/>
        <w:t>Anjali Sheffrin, CAISO – Market Monitoring seminar on November 8</w:t>
      </w:r>
      <w:r>
        <w:rPr>
          <w:vertAlign w:val="superscript"/>
        </w:rPr>
        <w:t>th</w:t>
      </w:r>
      <w:r>
        <w:rPr/>
        <w:t xml:space="preserve"> in Sacramento.  Considering regional monitoring process.  Benefits are that market is regional so mitigation measures can be applied regionally.  Data needs to be regional to understand what is happening.  Responsibilities to early detection and investigation.  Have effective mitigation measures and what are its enforcement powers.  WSCC wide monitoring is needed.  Benefits will only accrue if reasonable actions taken.  Agreement among the groups that a single market monitor is needed.  </w:t>
      </w:r>
    </w:p>
    <w:p>
      <w:pPr>
        <w:pStyle w:val="BodyTextIndent3"/>
        <w:keepNext w:val="true"/>
        <w:keepLines/>
        <w:rPr/>
      </w:pPr>
      <w:r>
        <w:rPr/>
      </w:r>
    </w:p>
    <w:p>
      <w:pPr>
        <w:pStyle w:val="BodyTextIndent3"/>
        <w:keepNext w:val="true"/>
        <w:keepLines/>
        <w:rPr/>
      </w:pPr>
      <w:r>
        <w:rPr/>
        <w:t>Questions:</w:t>
      </w:r>
    </w:p>
    <w:p>
      <w:pPr>
        <w:pStyle w:val="BodyTextIndent3"/>
        <w:keepNext w:val="true"/>
        <w:keepLines/>
        <w:rPr/>
      </w:pPr>
      <w:r>
        <w:rPr/>
      </w:r>
    </w:p>
    <w:p>
      <w:pPr>
        <w:pStyle w:val="BodyTextIndent3"/>
        <w:keepNext w:val="true"/>
        <w:keepLines/>
        <w:rPr/>
      </w:pPr>
      <w:r>
        <w:rPr/>
        <w:t xml:space="preserve">CEC complained about the lack of data release from CAISO.  Confidentiality has been used to keep data out of the hands of even state agencies.  (Greenleaf and Sheffrin Response)  Pointed to their process of posting before release.  Want to get standard policy so that regulatory agencies can get data needed. </w:t>
      </w:r>
    </w:p>
    <w:p>
      <w:pPr>
        <w:pStyle w:val="BodyTextIndent3"/>
        <w:ind w:hanging="0" w:start="360" w:end="0"/>
        <w:rPr/>
      </w:pPr>
      <w:r>
        <w:rPr/>
      </w:r>
    </w:p>
    <w:p>
      <w:pPr>
        <w:pStyle w:val="BodyTextIndent3"/>
        <w:ind w:hanging="360" w:start="360" w:end="0"/>
        <w:rPr>
          <w:b/>
          <w:bCs/>
          <w:i/>
          <w:i/>
          <w:iCs/>
        </w:rPr>
      </w:pPr>
      <w:r>
        <w:rPr>
          <w:b/>
          <w:bCs/>
          <w:i/>
          <w:iCs/>
        </w:rPr>
        <w:t xml:space="preserve">11.  Concluding Remarks. </w:t>
      </w:r>
    </w:p>
    <w:p>
      <w:pPr>
        <w:pStyle w:val="BodyTextIndent3"/>
        <w:rPr>
          <w:b/>
          <w:bCs/>
          <w:i/>
          <w:i/>
          <w:iCs/>
        </w:rPr>
      </w:pPr>
      <w:r>
        <w:rPr>
          <w:b/>
          <w:bCs/>
          <w:i/>
          <w:iCs/>
        </w:rPr>
      </w:r>
    </w:p>
    <w:p>
      <w:pPr>
        <w:pStyle w:val="BodyTextIndent3"/>
        <w:rPr/>
      </w:pPr>
      <w:r>
        <w:rPr/>
        <w:t xml:space="preserve">Marsh Smith – Thanked all the RTO people who came today and provided information.  It is a large project, and we will push to get the work moved along.  Thanks to FERC for attending.  </w:t>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S.Walton</w:t>
      <w:tab/>
      <w:tab/>
      <w:t>November 1, 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S.Walton</w:t>
      <w:tab/>
      <w:tab/>
      <w:t>November 1, 2001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Committee on Regional Electric Power Cooperation, a joint activity of the Western Association of Public Utility Commissioners and the Western Interstate Energy Board, who are the state regulators of retail electric service and the state energy offices respectively.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end"/>
      <w:rPr>
        <w:b/>
        <w:bCs/>
        <w:sz w:val="20"/>
      </w:rPr>
    </w:pPr>
    <w:r>
      <w:rPr>
        <w:b/>
        <w:bCs/>
        <w:sz w:val="20"/>
      </w:rPr>
      <w:t xml:space="preserve">Meeting Notes for CREPC -- Seattle, Washington </w:t>
    </w:r>
  </w:p>
  <w:p>
    <w:pPr>
      <w:pStyle w:val="Header"/>
      <w:jc w:val="end"/>
      <w:rPr>
        <w:rStyle w:val="PageNumber"/>
        <w:b/>
        <w:bCs/>
        <w:sz w:val="20"/>
      </w:rPr>
    </w:pPr>
    <w:r>
      <w:rPr>
        <w:b/>
        <w:bCs/>
        <w:sz w:val="20"/>
      </w:rPr>
      <w:t xml:space="preserve">Page </w:t>
    </w:r>
    <w:r>
      <w:rPr>
        <w:rStyle w:val="PageNumber"/>
        <w:b/>
        <w:bCs/>
        <w:sz w:val="20"/>
      </w:rPr>
      <w:fldChar w:fldCharType="begin"/>
    </w:r>
    <w:r>
      <w:rPr>
        <w:rStyle w:val="PageNumber"/>
        <w:sz w:val="20"/>
        <w:b/>
        <w:bCs/>
      </w:rPr>
      <w:instrText xml:space="preserve"> PAGE </w:instrText>
    </w:r>
    <w:r>
      <w:rPr>
        <w:rStyle w:val="PageNumber"/>
        <w:sz w:val="20"/>
        <w:b/>
        <w:bCs/>
      </w:rPr>
      <w:fldChar w:fldCharType="separate"/>
    </w:r>
    <w:r>
      <w:rPr>
        <w:rStyle w:val="PageNumber"/>
        <w:sz w:val="20"/>
        <w:b/>
        <w:bCs/>
      </w:rPr>
      <w:t>9</w:t>
    </w:r>
    <w:r>
      <w:rPr>
        <w:rStyle w:val="PageNumber"/>
        <w:sz w:val="20"/>
        <w:b/>
        <w:bCs/>
      </w:rPr>
      <w:fldChar w:fldCharType="end"/>
    </w:r>
    <w:r>
      <w:rPr>
        <w:rStyle w:val="PageNumber"/>
        <w:b/>
        <w:bCs/>
        <w:sz w:val="20"/>
      </w:rPr>
      <w:t xml:space="preserve"> of </w:t>
    </w:r>
    <w:r>
      <w:rPr>
        <w:rStyle w:val="PageNumber"/>
        <w:b/>
        <w:bCs/>
        <w:sz w:val="20"/>
      </w:rPr>
      <w:fldChar w:fldCharType="begin"/>
    </w:r>
    <w:r>
      <w:rPr>
        <w:rStyle w:val="PageNumber"/>
        <w:sz w:val="20"/>
        <w:b/>
        <w:bCs/>
      </w:rPr>
      <w:instrText xml:space="preserve"> NUMPAGES \* ARABIC </w:instrText>
    </w:r>
    <w:r>
      <w:rPr>
        <w:rStyle w:val="PageNumber"/>
        <w:sz w:val="20"/>
        <w:b/>
        <w:bCs/>
      </w:rPr>
      <w:fldChar w:fldCharType="separate"/>
    </w:r>
    <w:r>
      <w:rPr>
        <w:rStyle w:val="PageNumber"/>
        <w:sz w:val="20"/>
        <w:b/>
        <w:bCs/>
      </w:rPr>
      <w:t>9</w:t>
    </w:r>
    <w:r>
      <w:rPr>
        <w:rStyle w:val="PageNumber"/>
        <w:sz w:val="20"/>
        <w:b/>
        <w:bCs/>
      </w:rPr>
      <w:fldChar w:fldCharType="end"/>
    </w:r>
  </w:p>
  <w:p>
    <w:pPr>
      <w:pStyle w:val="Header"/>
      <w:jc w:val="end"/>
      <w:rPr>
        <w:rStyle w:val="PageNumber"/>
        <w:b/>
        <w:bCs/>
        <w:sz w:val="20"/>
      </w:rPr>
    </w:pPr>
    <w:r>
      <w:rPr/>
    </w:r>
  </w:p>
  <w:p>
    <w:pPr>
      <w:pStyle w:val="Header"/>
      <w:jc w:val="end"/>
      <w:rPr>
        <w:rStyle w:val="PageNumber"/>
        <w:b/>
        <w:bCs/>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3"/>
      <w:numFmt w:val="decimal"/>
      <w:lvlText w:val="%1."/>
      <w:lvlJc w:val="start"/>
      <w:pPr>
        <w:tabs>
          <w:tab w:val="num" w:pos="720"/>
        </w:tabs>
        <w:ind w:start="720" w:hanging="360"/>
      </w:pPr>
      <w:rPr>
        <w:i/>
        <w:b/>
      </w:rPr>
    </w:lvl>
  </w:abstractNum>
  <w:abstractNum w:abstractNumId="4">
    <w:lvl w:ilvl="0">
      <w:start w:val="8"/>
      <w:numFmt w:val="decimal"/>
      <w:lvlText w:val="%1."/>
      <w:lvlJc w:val="start"/>
      <w:pPr>
        <w:tabs>
          <w:tab w:val="num" w:pos="720"/>
        </w:tabs>
        <w:ind w:start="720" w:hanging="360"/>
      </w:pPr>
      <w:rPr/>
    </w:lvl>
  </w:abstractNum>
  <w:abstractNum w:abstractNumId="5">
    <w:lvl w:ilvl="0">
      <w:start w:val="3"/>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ind w:hanging="720" w:start="720" w:end="0"/>
      <w:jc w:val="both"/>
      <w:outlineLvl w:val="2"/>
    </w:pPr>
    <w:rPr>
      <w:b/>
      <w:bCs/>
      <w:u w:val="single"/>
    </w:rPr>
  </w:style>
  <w:style w:type="paragraph" w:styleId="Heading4">
    <w:name w:val="heading 4"/>
    <w:basedOn w:val="Normal"/>
    <w:next w:val="Normal"/>
    <w:qFormat/>
    <w:pPr>
      <w:keepNext w:val="true"/>
      <w:numPr>
        <w:ilvl w:val="3"/>
        <w:numId w:val="1"/>
      </w:numPr>
      <w:jc w:val="center"/>
      <w:outlineLvl w:val="3"/>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b/>
      <w:i/>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ind w:hanging="720" w:start="1080" w:end="0"/>
      <w:jc w:val="both"/>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2001-11-01T14:16:00Z</dcterms:created>
  <dc:creator>swalto2</dc:creator>
  <dc:description/>
  <dc:language>en-CA</dc:language>
  <cp:lastModifiedBy>swalto2</cp:lastModifiedBy>
  <dcterms:modified xsi:type="dcterms:W3CDTF">2001-11-01T22:20:00Z</dcterms:modified>
  <cp:revision>5</cp:revision>
  <dc:subject/>
  <dc:title>Meeting Notes for CREPC </dc:title>
</cp:coreProperties>
</file>