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rFonts w:ascii="Arial Narrow" w:hAnsi="Arial Narrow" w:cs="Arial Narrow"/>
          <w:sz w:val="28"/>
          <w:lang w:val="en-CA"/>
        </w:rPr>
      </w:pPr>
      <w:r>
        <w:rPr>
          <w:rFonts w:cs="Arial Narrow" w:ascii="Arial Narrow" w:hAnsi="Arial Narrow"/>
          <w:sz w:val="28"/>
          <w:lang w:val="en-CA"/>
        </w:rPr>
      </w:r>
      <w: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-328930</wp:posOffset>
                </wp:positionV>
                <wp:extent cx="1186180" cy="1131570"/>
                <wp:effectExtent l="0" t="0" r="0" b="0"/>
                <wp:wrapNone/>
                <wp:docPr id="1" name="Frame1"/>
                <a:graphic xmlns:a="http://schemas.openxmlformats.org/drawingml/2006/main">
                  <a:graphicData uri="http://schemas.microsoft.com/office/word/2010/wordprocessingShape">
                    <wps:wsp>
                      <wps:cNvSpPr txBox="1"/>
                      <wps:spPr>
                        <a:xfrm>
                          <a:off x="0" y="0"/>
                          <a:ext cx="1186180" cy="1131570"/>
                        </a:xfrm>
                        <a:prstGeom prst="rect"/>
                        <a:solidFill>
                          <a:srgbClr val="FFFFFF">
                            <a:alpha val="0"/>
                          </a:srgbClr>
                        </a:solidFill>
                      </wps:spPr>
                      <wps:txbx>
                        <w:txbxContent>
                          <w:p>
                            <w:pPr>
                              <w:pStyle w:val="Normal"/>
                              <w:rPr>
                                <w:b/>
                              </w:rPr>
                            </w:pPr>
                            <w:r>
                              <w:rPr>
                                <w:b/>
                              </w:rPr>
                              <w:drawing>
                                <wp:inline distT="0" distB="0" distL="0" distR="0">
                                  <wp:extent cx="1003300" cy="104013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003300" cy="104013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3.4pt;height:89.1pt;mso-wrap-distance-left:9.05pt;mso-wrap-distance-right:9.05pt;mso-wrap-distance-top:0pt;mso-wrap-distance-bottom:0pt;margin-top:-25.9pt;mso-position-vertical-relative:text;margin-left:-3.6pt;mso-position-horizontal-relative:text">
                <v:fill opacity="0f"/>
                <v:textbox inset="0.100694444444444in,0.0506944444444444in,0.100694444444444in,0.0506944444444444in">
                  <w:txbxContent>
                    <w:p>
                      <w:pPr>
                        <w:pStyle w:val="Normal"/>
                        <w:rPr>
                          <w:b/>
                        </w:rPr>
                      </w:pPr>
                      <w:r>
                        <w:rPr>
                          <w:b/>
                        </w:rPr>
                        <w:drawing>
                          <wp:inline distT="0" distB="0" distL="0" distR="0">
                            <wp:extent cx="1003300" cy="104013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003300" cy="1040130"/>
                                    </a:xfrm>
                                    <a:prstGeom prst="rect">
                                      <a:avLst/>
                                    </a:prstGeom>
                                    <a:noFill/>
                                  </pic:spPr>
                                </pic:pic>
                              </a:graphicData>
                            </a:graphic>
                          </wp:inline>
                        </w:drawing>
                      </w:r>
                    </w:p>
                  </w:txbxContent>
                </v:textbox>
                <w10:wrap type="none"/>
              </v:rect>
            </w:pict>
          </mc:Fallback>
        </mc:AlternateContent>
      </w:r>
    </w:p>
    <w:p>
      <w:pPr>
        <w:pStyle w:val="Heading1"/>
        <w:ind w:hanging="0" w:start="0"/>
        <w:jc w:val="end"/>
        <w:rPr>
          <w:rFonts w:ascii="Arial Narrow" w:hAnsi="Arial Narrow" w:cs="Arial Narrow"/>
          <w:sz w:val="28"/>
        </w:rPr>
      </w:pPr>
      <w:r>
        <w:rPr>
          <w:rFonts w:cs="Arial Narrow" w:ascii="Arial Narrow" w:hAnsi="Arial Narrow"/>
          <w:sz w:val="28"/>
        </w:rPr>
      </w:r>
    </w:p>
    <w:p>
      <w:pPr>
        <w:pStyle w:val="Heading1"/>
        <w:ind w:hanging="0" w:start="0"/>
        <w:jc w:val="end"/>
        <w:rPr>
          <w:rFonts w:ascii="Arial Narrow" w:hAnsi="Arial Narrow" w:cs="Arial Narrow"/>
          <w:sz w:val="28"/>
        </w:rPr>
      </w:pPr>
      <w:r>
        <w:rPr>
          <w:rFonts w:cs="Arial Narrow" w:ascii="Arial Narrow" w:hAnsi="Arial Narrow"/>
          <w:sz w:val="28"/>
        </w:rPr>
      </w:r>
    </w:p>
    <w:p>
      <w:pPr>
        <w:pStyle w:val="Heading1"/>
        <w:ind w:hanging="0" w:start="0"/>
        <w:jc w:val="end"/>
        <w:rPr>
          <w:b w:val="false"/>
        </w:rPr>
      </w:pPr>
      <w:r>
        <w:rPr>
          <w:rFonts w:cs="Arial Narrow" w:ascii="Arial Narrow" w:hAnsi="Arial Narrow"/>
          <w:sz w:val="28"/>
        </w:rPr>
        <w:tab/>
        <w:tab/>
        <w:tab/>
        <w:tab/>
        <w:tab/>
        <w:t>INTEROFFICE MEMORANDUM</w:t>
        <w:tab/>
      </w:r>
    </w:p>
    <w:p>
      <w:pPr>
        <w:pStyle w:val="Normal"/>
        <w:pBdr>
          <w:bottom w:val="single" w:sz="12" w:space="1" w:color="000000"/>
        </w:pBdr>
        <w:rPr>
          <w:b/>
        </w:rPr>
      </w:pPr>
      <w:r>
        <w:rPr>
          <w:b/>
        </w:rPr>
      </w:r>
    </w:p>
    <w:p>
      <w:pPr>
        <w:pStyle w:val="Normal"/>
        <w:rPr>
          <w:b/>
        </w:rPr>
      </w:pPr>
      <w:r>
        <w:rPr>
          <w:b/>
        </w:rPr>
      </w:r>
    </w:p>
    <w:p>
      <w:pPr>
        <w:pStyle w:val="Normal"/>
        <w:rPr/>
      </w:pPr>
      <w:r>
        <w:rPr/>
      </w:r>
    </w:p>
    <w:p>
      <w:pPr>
        <w:pStyle w:val="Normal"/>
        <w:rPr/>
      </w:pPr>
      <w:r>
        <w:rPr/>
      </w:r>
    </w:p>
    <w:p>
      <w:pPr>
        <w:pStyle w:val="Normal"/>
        <w:rPr>
          <w:rFonts w:ascii="Arial" w:hAnsi="Arial" w:cs="Arial"/>
          <w:sz w:val="24"/>
        </w:rPr>
      </w:pPr>
      <w:r>
        <w:rPr>
          <w:rFonts w:cs="Arial" w:ascii="Arial" w:hAnsi="Arial"/>
          <w:sz w:val="24"/>
        </w:rPr>
        <w:t>Date:</w:t>
        <w:tab/>
        <w:tab/>
        <w:t>January 26, 2001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From:</w:t>
        <w:tab/>
        <w:tab/>
        <w:t>Samuel Harrell</w:t>
        <w:tab/>
        <w:tab/>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To:</w:t>
        <w:tab/>
        <w:tab/>
        <w:t>EES Account Management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ind w:hanging="1440" w:start="1440" w:end="0"/>
        <w:rPr/>
      </w:pPr>
      <w:r>
        <w:rPr>
          <w:rFonts w:cs="Arial" w:ascii="Arial" w:hAnsi="Arial"/>
          <w:sz w:val="24"/>
        </w:rPr>
        <w:t>Subject</w:t>
      </w:r>
      <w:r>
        <w:rPr/>
        <w:t>:</w:t>
        <w:tab/>
      </w:r>
      <w:r>
        <w:rPr>
          <w:rFonts w:cs="Arial" w:ascii="Arial" w:hAnsi="Arial"/>
          <w:sz w:val="24"/>
        </w:rPr>
        <w:t>Phase I – Third Party Supply for Electricity in NJ &amp; PA, Meeting Notes from January 25</w:t>
      </w:r>
      <w:r>
        <w:rPr>
          <w:rFonts w:cs="Arial" w:ascii="Arial" w:hAnsi="Arial"/>
          <w:sz w:val="24"/>
          <w:vertAlign w:val="superscript"/>
        </w:rPr>
        <w:t>th</w:t>
      </w:r>
      <w:r>
        <w:rPr>
          <w:rFonts w:cs="Arial" w:ascii="Arial" w:hAnsi="Arial"/>
          <w:sz w:val="24"/>
        </w:rPr>
        <w:t xml:space="preserve"> Conference Call</w:t>
      </w:r>
    </w:p>
    <w:p>
      <w:pPr>
        <w:pStyle w:val="Normal"/>
        <w:rPr>
          <w:rFonts w:ascii="Arial" w:hAnsi="Arial" w:cs="Arial"/>
          <w:sz w:val="24"/>
        </w:rPr>
      </w:pPr>
      <w:r>
        <w:rPr>
          <w:rFonts w:cs="Arial" w:ascii="Arial" w:hAnsi="Arial"/>
          <w:sz w:val="24"/>
        </w:rPr>
      </w:r>
    </w:p>
    <w:p>
      <w:pPr>
        <w:pStyle w:val="Heading2"/>
        <w:ind w:hanging="0" w:start="0"/>
        <w:rPr/>
      </w:pPr>
      <w:r>
        <w:rPr/>
        <w:t>Attendees</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Bryan Gee, Javier Gallo, Peter Johnston, and Dag Joraholmen</w:t>
      </w:r>
    </w:p>
    <w:p>
      <w:pPr>
        <w:pStyle w:val="Normal"/>
        <w:rPr>
          <w:rFonts w:ascii="Arial" w:hAnsi="Arial" w:cs="Arial"/>
          <w:sz w:val="24"/>
        </w:rPr>
      </w:pPr>
      <w:r>
        <w:rPr>
          <w:rFonts w:cs="Arial" w:ascii="Arial" w:hAnsi="Arial"/>
          <w:sz w:val="24"/>
        </w:rPr>
      </w:r>
    </w:p>
    <w:p>
      <w:pPr>
        <w:pStyle w:val="Heading2"/>
        <w:ind w:hanging="0" w:start="0"/>
        <w:rPr/>
      </w:pPr>
      <w:r>
        <w:rPr/>
        <w:t>Timeline for Bid Process</w:t>
      </w:r>
    </w:p>
    <w:p>
      <w:pPr>
        <w:pStyle w:val="Normal"/>
        <w:rPr>
          <w:rFonts w:ascii="Arial" w:hAnsi="Arial" w:cs="Arial"/>
          <w:sz w:val="24"/>
        </w:rPr>
      </w:pPr>
      <w:r>
        <w:rPr>
          <w:rFonts w:cs="Arial" w:ascii="Arial" w:hAnsi="Arial"/>
          <w:sz w:val="24"/>
        </w:rPr>
      </w:r>
    </w:p>
    <w:p>
      <w:pPr>
        <w:pStyle w:val="Normal"/>
        <w:numPr>
          <w:ilvl w:val="0"/>
          <w:numId w:val="4"/>
        </w:numPr>
        <w:rPr>
          <w:rFonts w:ascii="Arial" w:hAnsi="Arial" w:cs="Arial"/>
          <w:sz w:val="24"/>
        </w:rPr>
      </w:pPr>
      <w:r>
        <w:rPr>
          <w:rFonts w:cs="Arial" w:ascii="Arial" w:hAnsi="Arial"/>
          <w:sz w:val="24"/>
        </w:rPr>
        <w:t>The initial solicitation has a preliminary delivery date of Thursday, February 6</w:t>
      </w:r>
      <w:r>
        <w:rPr>
          <w:rFonts w:cs="Arial" w:ascii="Arial" w:hAnsi="Arial"/>
          <w:sz w:val="24"/>
          <w:vertAlign w:val="superscript"/>
        </w:rPr>
        <w:t>th</w:t>
      </w:r>
      <w:r>
        <w:rPr>
          <w:rFonts w:cs="Arial" w:ascii="Arial" w:hAnsi="Arial"/>
          <w:sz w:val="24"/>
        </w:rPr>
        <w:t>. Suppliers will be asked to submit pricing and terms for a March/April 2001 read date start. The initial solicitation will include approximately 30 sites in NJ and PA only. See attachment labeled Bid 1 Deal Acct Data.xls for a complete list of these sites.</w:t>
      </w:r>
    </w:p>
    <w:p>
      <w:pPr>
        <w:pStyle w:val="Normal"/>
        <w:numPr>
          <w:ilvl w:val="0"/>
          <w:numId w:val="4"/>
        </w:numPr>
        <w:rPr>
          <w:rFonts w:ascii="Arial" w:hAnsi="Arial" w:cs="Arial"/>
          <w:sz w:val="24"/>
        </w:rPr>
      </w:pPr>
      <w:r>
        <w:rPr>
          <w:rFonts w:cs="Arial" w:ascii="Arial" w:hAnsi="Arial"/>
          <w:sz w:val="24"/>
        </w:rPr>
        <w:t>Once prices are received, the bid economics will be analyzed over the specified term and compared to our current cost curve. A formal announcement to suppliers of acceptance and/or rejection of prices will be made on or before February 16</w:t>
      </w:r>
      <w:r>
        <w:rPr>
          <w:rFonts w:cs="Arial" w:ascii="Arial" w:hAnsi="Arial"/>
          <w:sz w:val="24"/>
          <w:vertAlign w:val="superscript"/>
        </w:rPr>
        <w:t>th</w:t>
      </w:r>
      <w:r>
        <w:rPr>
          <w:rFonts w:cs="Arial" w:ascii="Arial" w:hAnsi="Arial"/>
          <w:sz w:val="24"/>
        </w:rPr>
        <w:t>.</w:t>
      </w:r>
    </w:p>
    <w:p>
      <w:pPr>
        <w:pStyle w:val="Normal"/>
        <w:numPr>
          <w:ilvl w:val="0"/>
          <w:numId w:val="4"/>
        </w:numPr>
        <w:rPr>
          <w:rFonts w:ascii="Arial" w:hAnsi="Arial" w:cs="Arial"/>
          <w:sz w:val="24"/>
        </w:rPr>
      </w:pPr>
      <w:r>
        <w:rPr>
          <w:rFonts w:cs="Arial" w:ascii="Arial" w:hAnsi="Arial"/>
          <w:sz w:val="24"/>
        </w:rPr>
        <w:t xml:space="preserve">The solicitation will be web-based with all transactional information housed on the </w:t>
      </w:r>
      <w:r>
        <w:rPr>
          <w:rFonts w:cs="Arial" w:ascii="Arial" w:hAnsi="Arial"/>
          <w:i/>
          <w:sz w:val="24"/>
        </w:rPr>
        <w:t>DealBench</w:t>
      </w:r>
      <w:r>
        <w:rPr>
          <w:rFonts w:cs="Arial" w:ascii="Arial" w:hAnsi="Arial"/>
          <w:sz w:val="24"/>
        </w:rPr>
        <w:t xml:space="preserve">™ web platform; a wholly owned subsidiary of Enron Corp. DealBench adds functionality and security for the storage of data, legal documents and deal instructions. There is also uniform communication and deal management tracking tools available. </w:t>
      </w:r>
    </w:p>
    <w:p>
      <w:pPr>
        <w:pStyle w:val="Normal"/>
        <w:rPr>
          <w:rFonts w:ascii="Arial" w:hAnsi="Arial" w:cs="Arial"/>
          <w:sz w:val="24"/>
        </w:rPr>
      </w:pPr>
      <w:r>
        <w:rPr>
          <w:rFonts w:cs="Arial" w:ascii="Arial" w:hAnsi="Arial"/>
          <w:sz w:val="24"/>
        </w:rPr>
      </w:r>
    </w:p>
    <w:p>
      <w:pPr>
        <w:pStyle w:val="Heading2"/>
        <w:ind w:hanging="0" w:start="0"/>
        <w:rPr/>
      </w:pPr>
      <w:r>
        <w:rPr/>
        <w:t>Communication Issues</w:t>
      </w:r>
    </w:p>
    <w:p>
      <w:pPr>
        <w:pStyle w:val="Normal"/>
        <w:rPr>
          <w:rFonts w:ascii="Arial" w:hAnsi="Arial" w:cs="Arial"/>
          <w:sz w:val="24"/>
        </w:rPr>
      </w:pPr>
      <w:r>
        <w:rPr>
          <w:rFonts w:cs="Arial" w:ascii="Arial" w:hAnsi="Arial"/>
          <w:sz w:val="24"/>
        </w:rPr>
      </w:r>
    </w:p>
    <w:p>
      <w:pPr>
        <w:pStyle w:val="Normal"/>
        <w:numPr>
          <w:ilvl w:val="0"/>
          <w:numId w:val="5"/>
        </w:numPr>
        <w:rPr>
          <w:rFonts w:ascii="Arial" w:hAnsi="Arial" w:cs="Arial"/>
          <w:sz w:val="24"/>
        </w:rPr>
      </w:pPr>
      <w:r>
        <w:rPr>
          <w:rFonts w:cs="Arial" w:ascii="Arial" w:hAnsi="Arial"/>
          <w:sz w:val="24"/>
        </w:rPr>
        <w:t>Each account manager is asked to communicate with his/her customer(s) as to the nature of the solicitation process, EES rights and responsibilities per contractual terms, and proposed actions moving forward. Such “Notification for Acceptance” of proposed third party supply considerations can be done prior to the solicitation date and written acceptance of process is not required from customers unless expressly outline in the contract. Refer to the attachment Booked Deal Terms.xls for specific contract terms and conditions relating to third party supply. In some cases, you may want to review the entire contract for additional language not captured in this summary.</w:t>
      </w:r>
    </w:p>
    <w:p>
      <w:pPr>
        <w:pStyle w:val="Normal"/>
        <w:numPr>
          <w:ilvl w:val="0"/>
          <w:numId w:val="5"/>
        </w:numPr>
        <w:rPr>
          <w:rFonts w:ascii="Arial" w:hAnsi="Arial" w:cs="Arial"/>
          <w:sz w:val="24"/>
        </w:rPr>
      </w:pPr>
      <w:r>
        <w:rPr>
          <w:rFonts w:cs="Arial" w:ascii="Arial" w:hAnsi="Arial"/>
          <w:sz w:val="24"/>
        </w:rPr>
        <w:t>Account managers are asked to notify their Contract Risk Management representative or myself should there be rejection or push back from the customer regarding this process. A determination will be made at that time with respect to reconciliation and additional explanation or site removal. Refer to list below for contact personnel.</w:t>
      </w:r>
    </w:p>
    <w:p>
      <w:pPr>
        <w:pStyle w:val="Normal"/>
        <w:rPr>
          <w:rFonts w:ascii="Arial" w:hAnsi="Arial" w:cs="Arial"/>
          <w:sz w:val="24"/>
        </w:rPr>
      </w:pPr>
      <w:r>
        <w:rPr>
          <w:rFonts w:cs="Arial" w:ascii="Arial" w:hAnsi="Arial"/>
          <w:sz w:val="24"/>
        </w:rPr>
      </w:r>
    </w:p>
    <w:tbl>
      <w:tblPr>
        <w:tblW w:w="8314" w:type="dxa"/>
        <w:jc w:val="start"/>
        <w:tblInd w:w="0" w:type="dxa"/>
        <w:tblLayout w:type="fixed"/>
        <w:tblCellMar>
          <w:top w:w="0" w:type="dxa"/>
          <w:start w:w="30" w:type="dxa"/>
          <w:bottom w:w="0" w:type="dxa"/>
          <w:end w:w="30" w:type="dxa"/>
        </w:tblCellMar>
      </w:tblPr>
      <w:tblGrid>
        <w:gridCol w:w="3170"/>
        <w:gridCol w:w="2256"/>
        <w:gridCol w:w="2888"/>
      </w:tblGrid>
      <w:tr>
        <w:trPr>
          <w:trHeight w:val="653" w:hRule="atLeast"/>
        </w:trPr>
        <w:tc>
          <w:tcPr>
            <w:tcW w:w="3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4"/>
                <w:lang w:eastAsia="en-US"/>
              </w:rPr>
            </w:pPr>
            <w:r>
              <w:rPr>
                <w:rFonts w:cs="Arial" w:ascii="Arial" w:hAnsi="Arial"/>
                <w:b/>
                <w:color w:val="000000"/>
                <w:sz w:val="24"/>
                <w:lang w:eastAsia="en-US"/>
              </w:rPr>
              <w:t>Deal Name</w:t>
            </w:r>
          </w:p>
        </w:tc>
        <w:tc>
          <w:tcPr>
            <w:tcW w:w="22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4"/>
                <w:lang w:eastAsia="en-US"/>
              </w:rPr>
            </w:pPr>
            <w:r>
              <w:rPr>
                <w:rFonts w:cs="Arial" w:ascii="Arial" w:hAnsi="Arial"/>
                <w:b/>
                <w:color w:val="000000"/>
                <w:sz w:val="24"/>
                <w:lang w:eastAsia="en-US"/>
              </w:rPr>
              <w:t>Account Manager</w:t>
            </w:r>
          </w:p>
        </w:tc>
        <w:tc>
          <w:tcPr>
            <w:tcW w:w="288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4"/>
                <w:lang w:eastAsia="en-US"/>
              </w:rPr>
            </w:pPr>
            <w:r>
              <w:rPr>
                <w:rFonts w:cs="Arial" w:ascii="Arial" w:hAnsi="Arial"/>
                <w:b/>
                <w:color w:val="000000"/>
                <w:sz w:val="24"/>
                <w:lang w:eastAsia="en-US"/>
              </w:rPr>
              <w:t>Contract Risk Manager</w:t>
            </w:r>
          </w:p>
        </w:tc>
      </w:tr>
      <w:tr>
        <w:trPr>
          <w:trHeight w:val="247" w:hRule="atLeast"/>
        </w:trPr>
        <w:tc>
          <w:tcPr>
            <w:tcW w:w="3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American National Can</w:t>
            </w:r>
          </w:p>
        </w:tc>
        <w:tc>
          <w:tcPr>
            <w:tcW w:w="22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Javier Gallo</w:t>
            </w:r>
          </w:p>
        </w:tc>
        <w:tc>
          <w:tcPr>
            <w:tcW w:w="288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Jerry Zeleny</w:t>
            </w:r>
          </w:p>
        </w:tc>
      </w:tr>
      <w:tr>
        <w:trPr>
          <w:trHeight w:val="334" w:hRule="atLeast"/>
        </w:trPr>
        <w:tc>
          <w:tcPr>
            <w:tcW w:w="317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lang w:eastAsia="en-US"/>
              </w:rPr>
            </w:pPr>
            <w:r>
              <w:rPr>
                <w:rFonts w:cs="Arial" w:ascii="Arial" w:hAnsi="Arial"/>
                <w:color w:val="000000"/>
                <w:lang w:eastAsia="en-US"/>
              </w:rPr>
              <w:t>*Chase</w:t>
            </w:r>
          </w:p>
        </w:tc>
        <w:tc>
          <w:tcPr>
            <w:tcW w:w="225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lang w:eastAsia="en-US"/>
              </w:rPr>
            </w:pPr>
            <w:r>
              <w:rPr>
                <w:rFonts w:cs="Arial" w:ascii="Arial" w:hAnsi="Arial"/>
                <w:color w:val="000000"/>
                <w:lang w:eastAsia="en-US"/>
              </w:rPr>
              <w:t>Dag Joraholmen</w:t>
            </w:r>
          </w:p>
        </w:tc>
        <w:tc>
          <w:tcPr>
            <w:tcW w:w="2888"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lang w:eastAsia="en-US"/>
              </w:rPr>
            </w:pPr>
            <w:r>
              <w:rPr>
                <w:rFonts w:cs="Arial" w:ascii="Arial" w:hAnsi="Arial"/>
                <w:color w:val="000000"/>
                <w:lang w:eastAsia="en-US"/>
              </w:rPr>
              <w:t>Wayne Truxillo</w:t>
            </w:r>
          </w:p>
        </w:tc>
      </w:tr>
      <w:tr>
        <w:trPr>
          <w:trHeight w:val="247" w:hRule="atLeast"/>
        </w:trPr>
        <w:tc>
          <w:tcPr>
            <w:tcW w:w="3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General Cable</w:t>
            </w:r>
          </w:p>
        </w:tc>
        <w:tc>
          <w:tcPr>
            <w:tcW w:w="22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Michelle Foust</w:t>
            </w:r>
          </w:p>
        </w:tc>
        <w:tc>
          <w:tcPr>
            <w:tcW w:w="288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Jess Galura</w:t>
            </w:r>
          </w:p>
        </w:tc>
      </w:tr>
      <w:tr>
        <w:trPr>
          <w:trHeight w:val="247" w:hRule="atLeast"/>
        </w:trPr>
        <w:tc>
          <w:tcPr>
            <w:tcW w:w="3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Kendall-Tyco</w:t>
            </w:r>
          </w:p>
        </w:tc>
        <w:tc>
          <w:tcPr>
            <w:tcW w:w="22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Scott Layne</w:t>
            </w:r>
          </w:p>
        </w:tc>
        <w:tc>
          <w:tcPr>
            <w:tcW w:w="288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Jess Galura</w:t>
            </w:r>
          </w:p>
        </w:tc>
      </w:tr>
      <w:tr>
        <w:trPr>
          <w:trHeight w:val="305" w:hRule="atLeast"/>
        </w:trPr>
        <w:tc>
          <w:tcPr>
            <w:tcW w:w="3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Lucent</w:t>
            </w:r>
          </w:p>
        </w:tc>
        <w:tc>
          <w:tcPr>
            <w:tcW w:w="22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Michael O. Brown</w:t>
            </w:r>
          </w:p>
        </w:tc>
        <w:tc>
          <w:tcPr>
            <w:tcW w:w="288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Wayne Truxillo</w:t>
            </w:r>
          </w:p>
        </w:tc>
      </w:tr>
      <w:tr>
        <w:trPr>
          <w:trHeight w:val="247" w:hRule="atLeast"/>
        </w:trPr>
        <w:tc>
          <w:tcPr>
            <w:tcW w:w="3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Molded Fiber Glass (MFG)</w:t>
            </w:r>
          </w:p>
        </w:tc>
        <w:tc>
          <w:tcPr>
            <w:tcW w:w="22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Peter Johnston</w:t>
            </w:r>
          </w:p>
        </w:tc>
        <w:tc>
          <w:tcPr>
            <w:tcW w:w="288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Wayne Truxillo</w:t>
            </w:r>
          </w:p>
        </w:tc>
      </w:tr>
      <w:tr>
        <w:trPr>
          <w:trHeight w:val="247" w:hRule="atLeast"/>
        </w:trPr>
        <w:tc>
          <w:tcPr>
            <w:tcW w:w="3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Ocean Spray</w:t>
            </w:r>
          </w:p>
        </w:tc>
        <w:tc>
          <w:tcPr>
            <w:tcW w:w="22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Chris Wheeler</w:t>
            </w:r>
          </w:p>
        </w:tc>
        <w:tc>
          <w:tcPr>
            <w:tcW w:w="288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Samuel Harrell</w:t>
            </w:r>
          </w:p>
        </w:tc>
      </w:tr>
      <w:tr>
        <w:trPr>
          <w:trHeight w:val="247" w:hRule="atLeast"/>
        </w:trPr>
        <w:tc>
          <w:tcPr>
            <w:tcW w:w="3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Prudential </w:t>
            </w:r>
          </w:p>
        </w:tc>
        <w:tc>
          <w:tcPr>
            <w:tcW w:w="22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Michael O. Brown</w:t>
            </w:r>
          </w:p>
        </w:tc>
        <w:tc>
          <w:tcPr>
            <w:tcW w:w="288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Samuel Harrell</w:t>
            </w:r>
          </w:p>
        </w:tc>
      </w:tr>
      <w:tr>
        <w:trPr>
          <w:trHeight w:val="247" w:hRule="atLeast"/>
        </w:trPr>
        <w:tc>
          <w:tcPr>
            <w:tcW w:w="3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Sonoco</w:t>
            </w:r>
          </w:p>
        </w:tc>
        <w:tc>
          <w:tcPr>
            <w:tcW w:w="22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Bryan Gee</w:t>
            </w:r>
          </w:p>
        </w:tc>
        <w:tc>
          <w:tcPr>
            <w:tcW w:w="288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Jess Galura</w:t>
            </w:r>
          </w:p>
        </w:tc>
      </w:tr>
      <w:tr>
        <w:trPr>
          <w:trHeight w:val="247" w:hRule="atLeast"/>
        </w:trPr>
        <w:tc>
          <w:tcPr>
            <w:tcW w:w="3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Suiza</w:t>
            </w:r>
          </w:p>
        </w:tc>
        <w:tc>
          <w:tcPr>
            <w:tcW w:w="22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Charles R. Allured</w:t>
            </w:r>
          </w:p>
        </w:tc>
        <w:tc>
          <w:tcPr>
            <w:tcW w:w="288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Wayne Truxillo</w:t>
            </w:r>
          </w:p>
        </w:tc>
      </w:tr>
    </w:tbl>
    <w:p>
      <w:pPr>
        <w:pStyle w:val="Normal"/>
        <w:rPr>
          <w:rFonts w:ascii="Arial" w:hAnsi="Arial" w:cs="Arial"/>
          <w:color w:val="808080"/>
          <w:sz w:val="16"/>
        </w:rPr>
      </w:pPr>
      <w:r>
        <w:rPr>
          <w:rFonts w:cs="Arial" w:ascii="Arial" w:hAnsi="Arial"/>
          <w:color w:val="808080"/>
          <w:sz w:val="16"/>
        </w:rPr>
        <w:t>*Sites may not be included in initial bid.</w:t>
      </w:r>
    </w:p>
    <w:p>
      <w:pPr>
        <w:pStyle w:val="Normal"/>
        <w:rPr>
          <w:rFonts w:ascii="Arial" w:hAnsi="Arial" w:cs="Arial"/>
          <w:color w:val="808080"/>
          <w:sz w:val="24"/>
        </w:rPr>
      </w:pPr>
      <w:r>
        <w:rPr>
          <w:rFonts w:cs="Arial" w:ascii="Arial" w:hAnsi="Arial"/>
          <w:color w:val="808080"/>
          <w:sz w:val="24"/>
        </w:rPr>
      </w:r>
    </w:p>
    <w:p>
      <w:pPr>
        <w:pStyle w:val="Normal"/>
        <w:numPr>
          <w:ilvl w:val="0"/>
          <w:numId w:val="5"/>
        </w:numPr>
        <w:rPr>
          <w:rFonts w:ascii="Arial" w:hAnsi="Arial" w:cs="Arial"/>
          <w:sz w:val="24"/>
        </w:rPr>
      </w:pPr>
      <w:r>
        <w:rPr>
          <w:rFonts w:cs="Arial" w:ascii="Arial" w:hAnsi="Arial"/>
          <w:sz w:val="24"/>
        </w:rPr>
        <w:t>Note pricing information from suppliers is confidential and should not be divulged to customers during the Notification for Acceptance process. All questions regarding pricing or supplier worthiness (credit, ability to supply, reliability, etc.) should be directed to my attention.</w:t>
      </w:r>
    </w:p>
    <w:p>
      <w:pPr>
        <w:pStyle w:val="Normal"/>
        <w:numPr>
          <w:ilvl w:val="0"/>
          <w:numId w:val="5"/>
        </w:numPr>
        <w:rPr>
          <w:rFonts w:ascii="Arial" w:hAnsi="Arial" w:cs="Arial"/>
          <w:sz w:val="24"/>
        </w:rPr>
      </w:pPr>
      <w:r>
        <w:rPr>
          <w:rFonts w:cs="Arial" w:ascii="Arial" w:hAnsi="Arial"/>
          <w:sz w:val="24"/>
        </w:rPr>
        <w:t xml:space="preserve">Account managers will be invited to the solicitation via a secure and unique Deal Key number. Your profile will allow you to view deal information and documents. Your profile will not allow you to edit deal information or add deal documents. If you would like to register as a </w:t>
      </w:r>
      <w:r>
        <w:rPr>
          <w:rFonts w:cs="Arial" w:ascii="Arial" w:hAnsi="Arial"/>
          <w:i/>
          <w:sz w:val="24"/>
        </w:rPr>
        <w:t>DealBench</w:t>
      </w:r>
      <w:r>
        <w:rPr>
          <w:rFonts w:cs="Arial" w:ascii="Arial" w:hAnsi="Arial"/>
          <w:sz w:val="24"/>
        </w:rPr>
        <w:t xml:space="preserve">™ user in advance, please access the website at </w:t>
      </w:r>
      <w:hyperlink r:id="rId4">
        <w:r>
          <w:rPr>
            <w:rStyle w:val="Hyperlink"/>
          </w:rPr>
          <w:t>www.dealbench.com</w:t>
        </w:r>
      </w:hyperlink>
      <w:r>
        <w:rPr>
          <w:rFonts w:cs="Arial" w:ascii="Arial" w:hAnsi="Arial"/>
          <w:sz w:val="24"/>
        </w:rPr>
        <w:t xml:space="preserve">. </w:t>
      </w:r>
    </w:p>
    <w:p>
      <w:pPr>
        <w:pStyle w:val="Normal"/>
        <w:rPr>
          <w:rFonts w:ascii="Arial" w:hAnsi="Arial" w:cs="Arial"/>
          <w:sz w:val="24"/>
        </w:rPr>
      </w:pPr>
      <w:r>
        <w:rPr>
          <w:rFonts w:cs="Arial" w:ascii="Arial" w:hAnsi="Arial"/>
          <w:sz w:val="24"/>
        </w:rPr>
      </w:r>
    </w:p>
    <w:p>
      <w:pPr>
        <w:pStyle w:val="Heading2"/>
        <w:ind w:hanging="0" w:start="0"/>
        <w:rPr/>
      </w:pPr>
      <w:r>
        <w:rPr/>
        <w:t>Next Steps</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sz w:val="24"/>
        </w:rPr>
      </w:pPr>
      <w:r>
        <w:rPr>
          <w:rFonts w:cs="Arial" w:ascii="Arial" w:hAnsi="Arial"/>
          <w:sz w:val="24"/>
        </w:rPr>
        <w:t>Depending on the success of the initial bid and the pricing received from suppliers, future bids will be analyzed and executed using similar due-diligence procedures. The essential screens used for this solicitation include open market access locality, minimum annual spends, EES open market access license participation, Master Purchase Agreement (MPA) supplier relationships and contractual capability or obligation.</w:t>
      </w:r>
    </w:p>
    <w:p>
      <w:pPr>
        <w:pStyle w:val="Normal"/>
        <w:rPr>
          <w:rFonts w:ascii="Arial" w:hAnsi="Arial" w:cs="Arial"/>
          <w:sz w:val="24"/>
        </w:rPr>
      </w:pPr>
      <w:r>
        <w:rPr>
          <w:rFonts w:cs="Arial" w:ascii="Arial" w:hAnsi="Arial"/>
          <w:sz w:val="24"/>
        </w:rPr>
      </w:r>
    </w:p>
    <w:sectPr>
      <w:headerReference w:type="default" r:id="rId5"/>
      <w:type w:val="nextPage"/>
      <w:pgSz w:w="12240" w:h="15840"/>
      <w:pgMar w:left="1800" w:right="1800" w:gutter="0" w:header="720" w:top="7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empus Sans ITC">
    <w:altName w:val="GoudyHandtooled BT"/>
    <w:charset w:val="00" w:characterSet="windows-1252"/>
    <w:family w:val="decorative"/>
    <w:pitch w:val="variable"/>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caps/>
      </w:rPr>
    </w:pPr>
    <w:r>
      <w:rPr>
        <w:rFonts w:cs="Arial" w:ascii="Arial" w:hAnsi="Arial"/>
        <w:b/>
        <w:caps/>
      </w:rPr>
      <w:t>EES Internal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Tempus Sans ITC;GoudyHandtooled BT" w:hAnsi="Tempus Sans ITC;GoudyHandtooled BT" w:cs="Tempus Sans ITC;GoudyHandtooled BT"/>
      <w:b/>
      <w:sz w:val="40"/>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http://www.dealbench.com/"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 internal.dot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2001-01-26T18:21:00Z</dcterms:created>
  <dc:creator>mgonzale</dc:creator>
  <dc:description/>
  <dc:language>en-CA</dc:language>
  <cp:lastModifiedBy>sharrell</cp:lastModifiedBy>
  <cp:lastPrinted>2001-01-26T15:12:00Z</cp:lastPrinted>
  <dcterms:modified xsi:type="dcterms:W3CDTF">2001-01-26T18:47:00Z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ronSecurity">
    <vt:lpwstr>Internal Use Only</vt:lpwstr>
  </property>
</Properties>
</file>