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Attention Antonio Martinez/ Carlos Roura</w:t>
      </w:r>
    </w:p>
    <w:p>
      <w:pPr>
        <w:pStyle w:val="Normal"/>
        <w:rPr/>
      </w:pPr>
      <w:r>
        <w:rPr/>
        <w:t>Please find hereunder the outline of our proposal to continue GM/Enron co-operation in a frame protecting both parties' main concerns.</w:t>
      </w:r>
    </w:p>
    <w:p>
      <w:pPr>
        <w:pStyle w:val="Normal"/>
        <w:rPr/>
      </w:pPr>
      <w:r>
        <w:rPr/>
        <w:t xml:space="preserve"> 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61"/>
        <w:gridCol w:w="4261"/>
      </w:tblGrid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Ectric Spain S.L. (ESSL) is the vehicle of choice to channel all business between Enron and GM in Spain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and GM will finalise the transfer of the strategic storage amounts (circa 93,600 mt of gasoil) mentioned in the Deed of Transfer of June 7</w:t>
            </w:r>
            <w:r>
              <w:rPr>
                <w:vertAlign w:val="superscript"/>
              </w:rPr>
              <w:t>th</w:t>
            </w:r>
            <w:r>
              <w:rPr/>
              <w:t xml:space="preserve"> 2000, by signing MD/ storage agreements already presented to GM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will </w:t>
            </w:r>
            <w:r>
              <w:rPr>
                <w:i/>
              </w:rPr>
              <w:t xml:space="preserve">temporarily </w:t>
            </w:r>
            <w:r>
              <w:rPr/>
              <w:t>control ESSL until such time as GM are able to fulfill their financial obligations to ESSL and the exposure to GM is reduced to acceptable limits.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will thus appoint a Managing Director for ESSL, while Don Antonio Garcia Munte Lopez will remain as Chairman. The necessary resolutions/documents will be presented to effect this change.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will continue to supply cargoes to ESSL and ESSL will use GM as agent to sell product to 3</w:t>
            </w:r>
            <w:r>
              <w:rPr>
                <w:vertAlign w:val="superscript"/>
              </w:rPr>
              <w:t>rd</w:t>
            </w:r>
            <w:r>
              <w:rPr/>
              <w:t xml:space="preserve"> parties (KPC/ Conti/other) in Spain.</w:t>
            </w:r>
          </w:p>
          <w:p>
            <w:pPr>
              <w:pStyle w:val="Normal"/>
              <w:rPr/>
            </w:pPr>
            <w:r>
              <w:rPr/>
              <w:t>Therefore, GM will continue to be the main point of commercial contact with the 3</w:t>
            </w:r>
            <w:r>
              <w:rPr>
                <w:vertAlign w:val="superscript"/>
              </w:rPr>
              <w:t>rd</w:t>
            </w:r>
            <w:r>
              <w:rPr/>
              <w:t xml:space="preserve"> parties, building the relationships on behalf of ESSL, negotiating the pricing, facilitating the sale over the rack, acting on behalf of ESSL in meeting any spanish requirements (i.e. VAT/ tax/ storage/ duties/ strategic stocks). GM will receive a commission for this role, also will be covered for costs relating to storing the product , taxes, etc.</w:t>
            </w:r>
          </w:p>
          <w:p>
            <w:pPr>
              <w:pStyle w:val="Normal"/>
              <w:rPr/>
            </w:pPr>
            <w:r>
              <w:rPr/>
              <w:t>ESSL will have control of the finances, receiving payment directly from the 3</w:t>
            </w:r>
            <w:r>
              <w:rPr>
                <w:vertAlign w:val="superscript"/>
              </w:rPr>
              <w:t>rd</w:t>
            </w:r>
            <w:r>
              <w:rPr/>
              <w:t xml:space="preserve"> parties and then paying Enron. The existing contracts with 3</w:t>
            </w:r>
            <w:r>
              <w:rPr>
                <w:vertAlign w:val="superscript"/>
              </w:rPr>
              <w:t>rd</w:t>
            </w:r>
            <w:r>
              <w:rPr/>
              <w:t xml:space="preserve"> parties need to be novated to "GM acting as agent for ESSL". Any resulting P&amp;L from these operations will be split between the partners, Enron and GM. (diagram attached for clarity)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will present GM with a contract to formalise this agency agreement next week.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Further meeting may be needed to negotiae the commission structure but the general outline should be agreed immediately in order to be able to meet deliveries to client this month.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GM to confirm that they will continue to pay the outstanding debt as per schedule (end Oct/ end Nov)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Simultaneously, discussions will be held between Enron and GM to keep the strategic stocks for GM past Dec 31</w:t>
            </w:r>
            <w:r>
              <w:rPr>
                <w:vertAlign w:val="superscript"/>
              </w:rPr>
              <w:t>st</w:t>
            </w:r>
            <w:r>
              <w:rPr/>
              <w:t xml:space="preserve"> 2000 and to agree a schedule to amortise the amounts owed for to Enron for this strategic stock.</w:t>
            </w:r>
          </w:p>
        </w:tc>
        <w:tc>
          <w:tcPr>
            <w:tcW w:w="4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-958215</wp:posOffset>
                </wp:positionH>
                <wp:positionV relativeFrom="paragraph">
                  <wp:posOffset>1188720</wp:posOffset>
                </wp:positionV>
                <wp:extent cx="7223760" cy="1371600"/>
                <wp:effectExtent l="5080" t="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1371600"/>
                          <a:chOff x="0" y="0"/>
                          <a:chExt cx="7223760" cy="1371600"/>
                        </a:xfrm>
                      </wpg:grpSpPr>
                      <wps:wsp>
                        <wps:cNvSpPr txBox="1"/>
                        <wps:spPr>
                          <a:xfrm>
                            <a:off x="0" y="182880"/>
                            <a:ext cx="118872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Enron London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200400" y="182880"/>
                            <a:ext cx="118872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ECTRIC Spain S.L. (ESSL)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035040" y="182880"/>
                            <a:ext cx="118872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Strategic Storage in Terminals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737360" y="365760"/>
                            <a:ext cx="90936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66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736640" y="640080"/>
                            <a:ext cx="9784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8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011680" y="0"/>
                            <a:ext cx="55872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Sells oil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19520" y="731520"/>
                            <a:ext cx="83880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Receives $ for product, finance costs, etc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Cs w:val="24"/>
                                  <w:kern w:val="2"/>
                                  <w:sz w:val="24"/>
                                  <w:rFonts w:cs="NotoSans NF" w:eastAsia="Liberation Sans" w:ascii="Liberation Serif" w:hAnsi="Liberation Serif"/>
                                  <w:lang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029200" y="91440"/>
                            <a:ext cx="558720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holds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754880" y="365760"/>
                            <a:ext cx="90936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66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5.45pt;margin-top:93.6pt;width:568.8pt;height:108pt" coordorigin="-1509,1872" coordsize="11376,2160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-1509;top:2160;width:1871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Enron London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3531;top:2160;width:1871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ECTRIC Spain S.L. (ESSL)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995;top:2160;width:1871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Strategic Storage in Terminals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line id="shape_0" from="1227,2448" to="2658,2448" stroked="t" o:allowincell="f" style="position:absolute">
                  <v:stroke color="#ff6600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1226,2880" to="2766,2880" stroked="t" o:allowincell="f" style="position:absolute;flip:x">
                  <v:stroke color="green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1659;top:1872;width:879;height:43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Sells oil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1514;top:3024;width:1320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Receives $ for product, finance costs, etc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Cs w:val="24"/>
                            <w:kern w:val="2"/>
                            <w:sz w:val="24"/>
                            <w:rFonts w:cs="NotoSans NF" w:eastAsia="Liberation Sans" w:ascii="Liberation Serif" w:hAnsi="Liberation Serif"/>
                            <w:lang w:val="en-CA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6411;top:2016;width:879;height:43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holds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5979,2448" to="7410,2448" stroked="t" o:allowincell="f" style="position:absolute">
                  <v:stroke color="#ff6600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1144905</wp:posOffset>
                </wp:positionH>
                <wp:positionV relativeFrom="paragraph">
                  <wp:posOffset>-365760</wp:posOffset>
                </wp:positionV>
                <wp:extent cx="3383280" cy="1645920"/>
                <wp:effectExtent l="5080" t="508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645920"/>
                          <a:chOff x="0" y="0"/>
                          <a:chExt cx="3383280" cy="164592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109728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Enron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86000" y="0"/>
                            <a:ext cx="109728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822960" y="731520"/>
                            <a:ext cx="532080" cy="9144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102400" y="731520"/>
                            <a:ext cx="645840" cy="9144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56480" y="914400"/>
                            <a:ext cx="4514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Owns 50%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51040" y="914400"/>
                            <a:ext cx="4514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Owns 50%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15pt;margin-top:-28.8pt;width:266.4pt;height:129.55pt" coordorigin="1803,-576" coordsize="5328,2591">
                <v:shape id="shape_0" fillcolor="white" stroked="t" o:allowincell="f" style="position:absolute;left:1803;top:-576;width:1727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Enron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403;top:-576;width:1727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GM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line id="shape_0" from="3099,576" to="3936,2015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5114,576" to="6130,2015" stroked="t" o:allowincell="f" style="position:absolute;flip:x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2522;top:864;width:710;height:57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Owns 50%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5978;top:864;width:710;height:57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Owns 50%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3613785</wp:posOffset>
                </wp:positionH>
                <wp:positionV relativeFrom="paragraph">
                  <wp:posOffset>2651760</wp:posOffset>
                </wp:positionV>
                <wp:extent cx="1005840" cy="0"/>
                <wp:effectExtent l="0" t="38100" r="0" b="3810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4.55pt,208.8pt" to="363.7pt,208.8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596265</wp:posOffset>
                </wp:positionH>
                <wp:positionV relativeFrom="paragraph">
                  <wp:posOffset>2103120</wp:posOffset>
                </wp:positionV>
                <wp:extent cx="4480560" cy="3522345"/>
                <wp:effectExtent l="5080" t="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3522240"/>
                          <a:chOff x="0" y="0"/>
                          <a:chExt cx="4480560" cy="3522240"/>
                        </a:xfrm>
                      </wpg:grpSpPr>
                      <wps:wsp>
                        <wps:cNvSpPr/>
                        <wps:spPr>
                          <a:xfrm>
                            <a:off x="2424960" y="93240"/>
                            <a:ext cx="0" cy="2468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6600"/>
                            </a:solidFill>
                            <a:prstDash val="dash"/>
                            <a:miter/>
                            <a:tailEnd len="sm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2882160"/>
                            <a:ext cx="448056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KPC/ Continental/ 3</w:t>
                              </w:r>
                              <w:r>
                                <w:rPr>
                                  <w:kern w:val="2"/>
                                  <w:sz w:val="20"/>
                                  <w:szCs w:val="20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rd</w:t>
                              </w: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 xml:space="preserve"> Parties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Cs w:val="24"/>
                                  <w:kern w:val="2"/>
                                  <w:sz w:val="24"/>
                                  <w:rFonts w:cs="NotoSans NF" w:eastAsia="Liberation Sans" w:ascii="Liberation Serif" w:hAnsi="Liberation Serif"/>
                                  <w:lang w:val="en-CA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Cs w:val="24"/>
                                  <w:kern w:val="2"/>
                                  <w:sz w:val="24"/>
                                  <w:rFonts w:cs="NotoSans NF" w:eastAsia="Liberation Sans" w:ascii="Liberation Serif" w:hAnsi="Liberation Serif"/>
                                  <w:lang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67760" y="457200"/>
                            <a:ext cx="54864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Sells  product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1510560" y="0"/>
                            <a:ext cx="365760" cy="640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8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70480" y="1053360"/>
                            <a:ext cx="64008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Receives $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510560" y="640080"/>
                            <a:ext cx="0" cy="21506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99280" y="93240"/>
                            <a:ext cx="0" cy="8229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ff66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790720" y="274320"/>
                            <a:ext cx="128016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Pays commission and operating costs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6.95pt;margin-top:165.6pt;width:352.8pt;height:277.35pt" coordorigin="939,3312" coordsize="7056,5547">
                <v:line id="shape_0" from="4758,3459" to="4758,7346" stroked="t" o:allowincell="f" style="position:absolute">
                  <v:stroke color="#ff6600" weight="9360" dashstyle="dash" endarrow="block" endarrowwidth="medium" endarrowlength="short" joinstyle="miter" endcap="flat"/>
                  <v:fill o:detectmouseclick="t" on="false"/>
                  <w10:wrap type="none"/>
                </v:line>
                <v:shape id="shape_0" fillcolor="white" stroked="t" o:allowincell="f" style="position:absolute;left:939;top:7851;width:7055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KPC/ Continental/ 3</w:t>
                        </w:r>
                        <w:r>
                          <w:rPr>
                            <w:kern w:val="2"/>
                            <w:sz w:val="20"/>
                            <w:szCs w:val="20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rd</w:t>
                        </w: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 xml:space="preserve"> Parties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Cs w:val="24"/>
                            <w:kern w:val="2"/>
                            <w:sz w:val="24"/>
                            <w:rFonts w:cs="NotoSans NF" w:eastAsia="Liberation Sans" w:ascii="Liberation Serif" w:hAnsi="Liberation Serif"/>
                            <w:lang w:val="en-CA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Cs w:val="24"/>
                            <w:kern w:val="2"/>
                            <w:sz w:val="24"/>
                            <w:rFonts w:cs="NotoSans NF" w:eastAsia="Liberation Sans" w:ascii="Liberation Serif" w:hAnsi="Liberation Serif"/>
                            <w:lang w:val="en-CA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f" o:allowincell="f" style="position:absolute;left:4038;top:4032;width:863;height:57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Sells  product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3318,3312" to="3893,4319" stroked="t" o:allowincell="f" style="position:absolute;flip:y">
                  <v:stroke color="green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2310;top:4971;width:1007;height:57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Receives $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3318,4320" to="3318,7706" stroked="t" o:allowincell="f" style="position:absolute">
                  <v:stroke color="green" weight="9360" joinstyle="miter" endcap="flat"/>
                  <v:fill o:detectmouseclick="t" on="false"/>
                  <w10:wrap type="none"/>
                </v:line>
                <v:line id="shape_0" from="5190,3459" to="5190,4754" stroked="t" o:allowincell="f" style="position:absolute">
                  <v:stroke color="#ff6600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5334;top:3744;width:2015;height:57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Pays commission and operating costs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2333625</wp:posOffset>
                </wp:positionH>
                <wp:positionV relativeFrom="paragraph">
                  <wp:posOffset>3200400</wp:posOffset>
                </wp:positionV>
                <wp:extent cx="3701415" cy="64008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1520" cy="640080"/>
                          <a:chOff x="0" y="0"/>
                          <a:chExt cx="3701520" cy="64008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132768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Garcia Munte as Agent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560320" y="0"/>
                            <a:ext cx="114120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Operating/storage/taxes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63760" y="274320"/>
                            <a:ext cx="73152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GB"/>
                                </w:rPr>
                                <w:t>Pays $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63760" y="9144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83.75pt;margin-top:252pt;width:291.45pt;height:50.4pt" coordorigin="3675,5040" coordsize="5829,1008">
                <v:shape id="shape_0" fillcolor="white" stroked="t" o:allowincell="f" style="position:absolute;left:3675;top:5040;width:2090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Garcia Munte as Agent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707;top:5040;width:1796;height:100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Operating/storage/taxes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f" o:allowincell="f" style="position:absolute;left:5980;top:5472;width:1151;height:57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en-GB"/>
                          </w:rPr>
                          <w:t>Pays $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5980,5184" to="7419,5184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sectPr>
      <w:type w:val="nextPage"/>
      <w:pgSz w:w="11906" w:h="16838"/>
      <w:pgMar w:left="1797" w:right="1797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2000-10-19T13:13:00Z</dcterms:created>
  <dc:creator>akarabat</dc:creator>
  <dc:description/>
  <dc:language>en-CA</dc:language>
  <cp:lastModifiedBy>akarabat</cp:lastModifiedBy>
  <cp:lastPrinted>2000-10-19T17:28:00Z</cp:lastPrinted>
  <dcterms:modified xsi:type="dcterms:W3CDTF">2000-10-19T15:27:00Z</dcterms:modified>
  <cp:revision>9</cp:revision>
  <dc:subject/>
  <dc:title>Further to our discussion in London on October 19th 2000, please find below Enron's proposal which we would like Garcia Munte (GM) to approve:</dc:title>
</cp:coreProperties>
</file>