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August 2, 2000</w:t>
      </w:r>
    </w:p>
    <w:p>
      <w:pPr>
        <w:pStyle w:val="Normal"/>
        <w:jc w:val="both"/>
        <w:rPr>
          <w:b/>
          <w:sz w:val="22"/>
        </w:rPr>
      </w:pPr>
      <w:r>
        <w:rPr>
          <w:b/>
          <w:sz w:val="22"/>
        </w:rPr>
      </w:r>
    </w:p>
    <w:p>
      <w:pPr>
        <w:pStyle w:val="Normal"/>
        <w:jc w:val="both"/>
        <w:rPr>
          <w:b/>
          <w:sz w:val="22"/>
        </w:rPr>
      </w:pPr>
      <w:r>
        <w:rPr>
          <w:b/>
          <w:sz w:val="22"/>
        </w:rPr>
        <w:t>PACS Energy, Inc.</w:t>
      </w:r>
    </w:p>
    <w:p>
      <w:pPr>
        <w:pStyle w:val="Normal"/>
        <w:jc w:val="both"/>
        <w:rPr/>
      </w:pPr>
      <w:r>
        <w:rPr>
          <w:bCs/>
          <w:sz w:val="22"/>
        </w:rPr>
        <w:t>1908 49</w:t>
      </w:r>
      <w:r>
        <w:rPr>
          <w:bCs/>
          <w:sz w:val="22"/>
          <w:vertAlign w:val="superscript"/>
        </w:rPr>
        <w:t>th</w:t>
      </w:r>
      <w:r>
        <w:rPr>
          <w:bCs/>
          <w:sz w:val="22"/>
        </w:rPr>
        <w:t xml:space="preserve"> Street West</w:t>
      </w:r>
    </w:p>
    <w:p>
      <w:pPr>
        <w:pStyle w:val="Normal"/>
        <w:jc w:val="both"/>
        <w:rPr>
          <w:bCs/>
          <w:sz w:val="22"/>
        </w:rPr>
      </w:pPr>
      <w:r>
        <w:rPr>
          <w:bCs/>
          <w:sz w:val="22"/>
        </w:rPr>
        <w:t>Bradenton, Florida  34209</w:t>
      </w:r>
    </w:p>
    <w:p>
      <w:pPr>
        <w:pStyle w:val="Normal"/>
        <w:jc w:val="both"/>
        <w:rPr>
          <w:bCs/>
          <w:sz w:val="22"/>
        </w:rPr>
      </w:pPr>
      <w:r>
        <w:rPr>
          <w:bCs/>
          <w:sz w:val="22"/>
        </w:rPr>
      </w:r>
    </w:p>
    <w:p>
      <w:pPr>
        <w:pStyle w:val="Normal"/>
        <w:jc w:val="both"/>
        <w:rPr>
          <w:sz w:val="22"/>
        </w:rPr>
      </w:pPr>
      <w:r>
        <w:rPr>
          <w:sz w:val="22"/>
        </w:rPr>
        <w:t>Attn.:  Rocco Tutela</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Mr. Tutela:</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agreement of PACS Energy, a New York corporation (“PACS”) and Enron North America Corp., a Delaware corporation (“ENA”), to evaluate ENA’s possible interest in a transaction regarding a tract of 184 acres of land in the Town of Yorkshire, New York, together with any existing permits (the “Site). PACS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 xml:space="preserve">This Agreement is intended to set forth certain basic terms of the understanding reached to date and to serve as a basis for further discussions and negotiations among the Parties with respect to the Site.  </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keepNext w:val="true"/>
        <w:keepLines/>
        <w:jc w:val="both"/>
        <w:rPr>
          <w:b/>
          <w:sz w:val="22"/>
        </w:rPr>
      </w:pPr>
      <w:r>
        <w:rPr>
          <w:b/>
          <w:sz w:val="22"/>
        </w:rPr>
      </w:r>
    </w:p>
    <w:p>
      <w:pPr>
        <w:pStyle w:val="Normal"/>
        <w:numPr>
          <w:ilvl w:val="0"/>
          <w:numId w:val="1"/>
        </w:numPr>
        <w:tabs>
          <w:tab w:val="clear" w:pos="720"/>
          <w:tab w:val="left" w:pos="1440" w:leader="none"/>
        </w:tabs>
        <w:ind w:firstLine="720" w:start="0" w:end="0"/>
        <w:jc w:val="both"/>
        <w:rPr>
          <w:sz w:val="22"/>
        </w:rPr>
      </w:pPr>
      <w:r>
        <w:rPr>
          <w:sz w:val="22"/>
        </w:rPr>
        <w:tab/>
        <w:t xml:space="preserve">ENA may conduct a due diligence investigation regarding the Site.  PACS will assist ENA in such investigation and PACS will disclose to ENA all relevant information in PACS's possession pertaining thereto. It is understood that ENA is not, by virtue of this agreement, undertaking any liability with regard to the Site; any such undertaking would be addressed in a subsequent definitive agreement.  Neither Party is obligated hereunder to enter into any definitive agreement with the other with respect to the Site.  </w:t>
      </w:r>
    </w:p>
    <w:p>
      <w:pPr>
        <w:pStyle w:val="Normal"/>
        <w:jc w:val="both"/>
        <w:rPr>
          <w:b/>
          <w:sz w:val="22"/>
        </w:rPr>
      </w:pPr>
      <w:r>
        <w:rPr>
          <w:b/>
          <w:sz w:val="22"/>
        </w:rPr>
      </w:r>
    </w:p>
    <w:p>
      <w:pPr>
        <w:pStyle w:val="Normal"/>
        <w:ind w:firstLine="720" w:end="0"/>
        <w:jc w:val="both"/>
        <w:rPr>
          <w:b/>
          <w:sz w:val="22"/>
        </w:rPr>
      </w:pPr>
      <w:r>
        <w:rPr>
          <w:sz w:val="22"/>
        </w:rPr>
        <w:t>2.</w:t>
        <w:tab/>
        <w:t xml:space="preserve">This Agreement shall remain in force and effect until ____ </w:t>
      </w:r>
      <w:r>
        <w:rPr>
          <w:i/>
          <w:sz w:val="22"/>
        </w:rPr>
        <w:t xml:space="preserve">, </w:t>
      </w:r>
      <w:r>
        <w:rPr>
          <w:iCs/>
          <w:sz w:val="22"/>
        </w:rPr>
        <w:t>2000</w:t>
      </w:r>
      <w:r>
        <w:rPr>
          <w:sz w:val="22"/>
        </w:rPr>
        <w:t xml:space="preserve"> (the “Term”).  The provisions of Section 5,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sz w:val="22"/>
        </w:rPr>
      </w:pPr>
      <w:r>
        <w:rPr>
          <w:sz w:val="22"/>
        </w:rPr>
        <w:t>3.</w:t>
        <w:tab/>
        <w:t>In consideration of the efforts to be expended by ENA in undertaking its due diligence review of theSite, PACS hereby grants to ENA, for a period beginning on _____ __, 2000 and ending on the earlier of (i) _____ __, 2000, and (ii) the date of any earlier termination as set out above (the “Exclusivity Period”) an exclusive option to purchase PACS rights and interest in the Site.  During the Exclusivity Period and without prior written consent of the other Party, PACS shall not offer to or work with other persons with regard to any sale or development of the Site. The foregoing exclusivity provision shall not restrict or prohibit either Party from engaging in transactions unrelated to the Site.</w:t>
      </w:r>
    </w:p>
    <w:p>
      <w:pPr>
        <w:pStyle w:val="Normal"/>
        <w:jc w:val="both"/>
        <w:rPr>
          <w:b/>
          <w:sz w:val="22"/>
        </w:rPr>
      </w:pPr>
      <w:r>
        <w:rPr>
          <w:b/>
          <w:sz w:val="22"/>
        </w:rPr>
      </w:r>
    </w:p>
    <w:p>
      <w:pPr>
        <w:pStyle w:val="Normal"/>
        <w:ind w:firstLine="720" w:end="0"/>
        <w:jc w:val="both"/>
        <w:rPr/>
      </w:pPr>
      <w:r>
        <w:rPr>
          <w:sz w:val="22"/>
        </w:rPr>
        <w:t>4.</w:t>
      </w:r>
      <w:r>
        <w:rPr>
          <w:b/>
          <w:sz w:val="22"/>
        </w:rPr>
        <w:tab/>
      </w:r>
      <w:r>
        <w:rPr>
          <w:sz w:val="22"/>
        </w:rPr>
        <w:t>(a)</w:t>
      </w:r>
      <w:r>
        <w:rPr>
          <w:b/>
          <w:sz w:val="22"/>
        </w:rPr>
        <w:t xml:space="preserve">  </w:t>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Site.</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Site.</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5.</w:t>
      </w:r>
      <w:r>
        <w:rPr>
          <w:b/>
          <w:sz w:val="22"/>
        </w:rPr>
        <w:tab/>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r>
      <w:r>
        <w:rPr>
          <w:sz w:val="22"/>
        </w:rPr>
        <w:t>No Party shall be bound by any definitive agreement relating to the Site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9.</w:t>
      </w:r>
      <w:r>
        <w:rPr>
          <w:b/>
          <w:sz w:val="22"/>
        </w:rPr>
        <w:tab/>
        <w:t>THIS AGREEMENT: (1) IS MERELY INTENDED TO EXPRESS THE DESIRE OF THE PARTIES TO POSSIBLY NEGOTIATE A TRANSACTION THAT WILL BE FINALIZED IN A WRITTEN AGREEMENT AT A FUTURE TIME; (2) EXCEPT FOR PARAGRAPHS 3 AND 4, THIS AGREEMENT DOES NOT CREATE AND IS NOT INTENDED TO CREATE A BINDING AND ENFORCEABLE CONTRACT BETWEEN THE PARTIES WITH RESPECT TO THE SITE; AND (3) MAY NOT BE RELIED UPON BY A PARTY AS THE BASIS FOR A CONTRACT BY ESTOPPEL OR OTHERWISE.  A BINDING COMMITMENT WITH RESPECT TO THE PURCHASE OF THE SITE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10.</w:t>
      </w:r>
      <w:r>
        <w:rPr>
          <w:b/>
          <w:sz w:val="22"/>
        </w:rPr>
        <w:tab/>
      </w:r>
      <w:r>
        <w:rPr>
          <w:sz w:val="22"/>
        </w:rPr>
        <w:t>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r>
      <w:r>
        <w:rPr>
          <w:sz w:val="22"/>
        </w:rPr>
        <w:t>The Parties shall attempt to resolve any dispute, controversy, difference or claim arising between them concerning the interpretation, performance or enforcement of this Agreement (a “Dispute”) through direct discussion.  The Dispute will be submitted to the American Arbitration Association (“AAA”) and will be held in Houston, Texas.  The arbitration will be binding, and will be held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12.</w:t>
        <w:tab/>
      </w:r>
      <w:r>
        <w:rPr>
          <w:b/>
          <w:sz w:val="22"/>
        </w:rPr>
        <w:t>LIMITATION OF LIABILITY.  NOTWITHSTANDING ANYTHING HEREIN TO THE CONTRARY, NEITHER ENA NOR PACS,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ENA may assign its obligations hereunder to any of its affiliates, or to any lender for the purpose of financing.  </w:t>
      </w:r>
    </w:p>
    <w:p>
      <w:pPr>
        <w:pStyle w:val="Normal"/>
        <w:ind w:firstLine="720" w:end="0"/>
        <w:jc w:val="both"/>
        <w:rPr>
          <w:sz w:val="22"/>
        </w:rPr>
      </w:pPr>
      <w:r>
        <w:rPr>
          <w:sz w:val="22"/>
        </w:rPr>
      </w:r>
    </w:p>
    <w:p>
      <w:pPr>
        <w:pStyle w:val="Normal"/>
        <w:jc w:val="both"/>
        <w:rPr>
          <w:sz w:val="22"/>
        </w:rPr>
      </w:pPr>
      <w:r>
        <w:rPr>
          <w:sz w:val="22"/>
        </w:rPr>
        <w:t>If the provisions of this Agreement correctly set forth the current understandings regarding the subject matter,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____:</w:t>
      </w:r>
    </w:p>
    <w:p>
      <w:pPr>
        <w:pStyle w:val="Normal"/>
        <w:keepNext w:val="true"/>
        <w:keepLines/>
        <w:jc w:val="both"/>
        <w:rPr>
          <w:b/>
          <w:sz w:val="22"/>
        </w:rPr>
      </w:pPr>
      <w:r>
        <w:rPr>
          <w:b/>
          <w:sz w:val="22"/>
        </w:rPr>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/mnt/main-storage/datasets/enron-docs/doc/Medina.doc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/mnt/main-storage/datasets/enron-docs/doc/Medina.doc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b/>
      </w:rPr>
    </w:pPr>
    <w:r>
      <w:rPr>
        <w:sz w:val="22"/>
      </w:rPr>
      <w:tab/>
      <w:tab/>
    </w:r>
  </w:p>
  <w:p>
    <w:pPr>
      <w:pStyle w:val="Header"/>
      <w:tabs>
        <w:tab w:val="clear" w:pos="8640"/>
        <w:tab w:val="center" w:pos="4320" w:leader="none"/>
        <w:tab w:val="right" w:pos="9630" w:leader="none"/>
      </w:tabs>
      <w:jc w:val="end"/>
      <w:rPr>
        <w:b/>
      </w:rPr>
    </w:pPr>
    <w:r>
      <w:rPr>
        <w:b/>
      </w:rPr>
      <w:t xml:space="preserve">For Internal ENA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r>
  </w:p>
  <w:p>
    <w:pPr>
      <w:pStyle w:val="Header"/>
      <w:tabs>
        <w:tab w:val="clear" w:pos="4320"/>
        <w:tab w:val="clear" w:pos="8640"/>
        <w:tab w:val="right" w:pos="9540" w:leader="none"/>
        <w:tab w:val="right" w:pos="9630" w:leader="none"/>
      </w:tabs>
      <w:jc w:val="end"/>
      <w:rPr>
        <w:b/>
      </w:rPr>
    </w:pPr>
    <w:r>
      <w:rPr>
        <w:b/>
      </w:rPr>
      <w:t>For Internal ENA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2000-08-01T13:28:00Z</dcterms:created>
  <dc:creator>ECT</dc:creator>
  <dc:description/>
  <dc:language>en-CA</dc:language>
  <cp:lastModifiedBy>kmann</cp:lastModifiedBy>
  <cp:lastPrinted>2000-08-01T18:59:00Z</cp:lastPrinted>
  <dcterms:modified xsi:type="dcterms:W3CDTF">2000-08-02T13:17:00Z</dcterms:modified>
  <cp:revision>7</cp:revision>
  <dc:subject/>
  <dc:title>[ECT Letterhead]</dc:title>
</cp:coreProperties>
</file>