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612" w:type="dxa"/>
        <w:tblLayout w:type="fixed"/>
        <w:tblCellMar>
          <w:top w:w="0" w:type="dxa"/>
          <w:start w:w="108" w:type="dxa"/>
          <w:bottom w:w="0" w:type="dxa"/>
          <w:end w:w="108" w:type="dxa"/>
        </w:tblCellMar>
      </w:tblPr>
      <w:tblGrid>
        <w:gridCol w:w="4698"/>
        <w:gridCol w:w="4842"/>
      </w:tblGrid>
      <w:tr>
        <w:trPr/>
        <w:tc>
          <w:tcPr>
            <w:tcW w:w="4698" w:type="dxa"/>
            <w:tcBorders/>
          </w:tcPr>
          <w:p>
            <w:pPr>
              <w:pStyle w:val="Header"/>
              <w:tabs>
                <w:tab w:val="clear" w:pos="4320"/>
                <w:tab w:val="clear" w:pos="8640"/>
              </w:tabs>
              <w:rPr>
                <w:sz w:val="22"/>
              </w:rPr>
            </w:pPr>
            <w:r>
              <w:rPr>
                <w:sz w:val="22"/>
              </w:rPr>
              <w:drawing>
                <wp:inline distT="0" distB="0" distL="0" distR="0">
                  <wp:extent cx="984885" cy="9525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84885" cy="952500"/>
                          </a:xfrm>
                          <a:prstGeom prst="rect">
                            <a:avLst/>
                          </a:prstGeom>
                          <a:noFill/>
                        </pic:spPr>
                      </pic:pic>
                    </a:graphicData>
                  </a:graphic>
                </wp:inline>
              </w:drawing>
            </w:r>
          </w:p>
        </w:tc>
        <w:tc>
          <w:tcPr>
            <w:tcW w:w="4842" w:type="dxa"/>
            <w:tcBorders/>
          </w:tcPr>
          <w:p>
            <w:pPr>
              <w:pStyle w:val="Normal"/>
              <w:tabs>
                <w:tab w:val="clear" w:pos="720"/>
                <w:tab w:val="left" w:pos="2412" w:leader="none"/>
              </w:tabs>
              <w:ind w:start="1962" w:end="0"/>
              <w:jc w:val="end"/>
              <w:rPr>
                <w:b/>
                <w:sz w:val="22"/>
              </w:rPr>
            </w:pPr>
            <w:r>
              <w:rPr>
                <w:b/>
                <w:sz w:val="22"/>
              </w:rPr>
              <w:t>Enron North America Corp.</w:t>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646-8898</w:t>
            </w:r>
            <w:r>
              <w:rPr>
                <w:sz w:val="22"/>
              </w:rPr>
              <w:fldChar w:fldCharType="end"/>
            </w:r>
          </w:p>
        </w:tc>
      </w:tr>
    </w:tbl>
    <w:p>
      <w:pPr>
        <w:pStyle w:val="Normal"/>
        <w:tabs>
          <w:tab w:val="clear" w:pos="720"/>
          <w:tab w:val="left" w:pos="6480" w:leader="none"/>
        </w:tabs>
        <w:rPr>
          <w:sz w:val="22"/>
        </w:rPr>
      </w:pPr>
      <w:r>
        <w:rPr>
          <w:sz w:val="22"/>
        </w:rPr>
      </w:r>
    </w:p>
    <w:p>
      <w:pPr>
        <w:pStyle w:val="Heading1"/>
        <w:ind w:hanging="0" w:start="0"/>
        <w:rPr/>
      </w:pPr>
      <w:r>
        <w:rPr/>
        <w:t xml:space="preserve">CONFIRMATION </w:t>
      </w:r>
    </w:p>
    <w:p>
      <w:pPr>
        <w:pStyle w:val="Normal"/>
        <w:tabs>
          <w:tab w:val="clear" w:pos="720"/>
          <w:tab w:val="left" w:pos="6480" w:leader="none"/>
        </w:tabs>
        <w:jc w:val="center"/>
        <w:rPr>
          <w:sz w:val="22"/>
        </w:rPr>
      </w:pPr>
      <w:r>
        <w:rPr>
          <w:b/>
          <w:sz w:val="22"/>
        </w:rPr>
        <w:t>(SWAPTION)</w:t>
      </w:r>
    </w:p>
    <w:p>
      <w:pPr>
        <w:pStyle w:val="Normal"/>
        <w:tabs>
          <w:tab w:val="clear" w:pos="720"/>
          <w:tab w:val="left" w:pos="6480" w:leader="none"/>
        </w:tabs>
        <w:rPr>
          <w:sz w:val="22"/>
        </w:rPr>
      </w:pPr>
      <w:r>
        <w:rPr>
          <w:sz w:val="22"/>
        </w:rPr>
      </w:r>
    </w:p>
    <w:p>
      <w:pPr>
        <w:pStyle w:val="BodyText2"/>
        <w:rPr/>
      </w:pPr>
      <w:r>
        <w:rPr/>
        <w:t>This second Revised Confirmation supersedes and replaces all prior Confirmations relating to the subject matter hereof, including the Revised Confirmation dated as of March 31, 2000 made and entered into between the parties hereto.</w:t>
      </w:r>
    </w:p>
    <w:p>
      <w:pPr>
        <w:pStyle w:val="Normal"/>
        <w:jc w:val="center"/>
        <w:rPr/>
      </w:pPr>
      <w:r>
        <w:rPr/>
      </w:r>
    </w:p>
    <w:p>
      <w:pPr>
        <w:pStyle w:val="Normal"/>
        <w:jc w:val="center"/>
        <w:rPr>
          <w:sz w:val="22"/>
        </w:rPr>
      </w:pPr>
      <w:r>
        <w:rPr/>
        <w:t>Revision to Additional Provisions</w:t>
      </w:r>
    </w:p>
    <w:p>
      <w:pPr>
        <w:pStyle w:val="Normal"/>
        <w:tabs>
          <w:tab w:val="clear" w:pos="720"/>
          <w:tab w:val="left" w:pos="6480" w:leader="none"/>
        </w:tabs>
        <w:rPr>
          <w:sz w:val="22"/>
        </w:rPr>
      </w:pPr>
      <w:r>
        <w:rPr>
          <w:sz w:val="22"/>
        </w:rPr>
      </w:r>
    </w:p>
    <w:p>
      <w:pPr>
        <w:pStyle w:val="Normal"/>
        <w:ind w:firstLine="720" w:end="0"/>
        <w:rPr>
          <w:u w:val="single"/>
        </w:rPr>
      </w:pPr>
      <w:r>
        <w:rPr/>
        <w:t>Date:</w:t>
        <w:tab/>
        <w:tab/>
        <w:tab/>
        <w:tab/>
        <w:t>April 17, 2000</w:t>
      </w:r>
    </w:p>
    <w:p>
      <w:pPr>
        <w:pStyle w:val="Normal"/>
        <w:ind w:firstLine="720" w:end="0"/>
        <w:rPr/>
      </w:pPr>
      <w:r>
        <w:rPr/>
        <w:t>To:</w:t>
        <w:tab/>
        <w:tab/>
        <w:tab/>
        <w:tab/>
        <w:t>MediaNews Group, Inc. (“Counterparty”)</w:t>
      </w:r>
    </w:p>
    <w:p>
      <w:pPr>
        <w:pStyle w:val="Normal"/>
        <w:ind w:firstLine="720" w:end="0"/>
        <w:rPr/>
      </w:pPr>
      <w:r>
        <w:rPr/>
        <w:t xml:space="preserve">Attention: </w:t>
        <w:tab/>
        <w:tab/>
        <w:tab/>
        <w:t>Jody Lodovic</w:t>
      </w:r>
    </w:p>
    <w:p>
      <w:pPr>
        <w:pStyle w:val="Normal"/>
        <w:ind w:firstLine="720" w:end="0"/>
        <w:rPr/>
      </w:pPr>
      <w:r>
        <w:rPr/>
        <w:t>Fax Number:</w:t>
        <w:tab/>
        <w:tab/>
        <w:tab/>
        <w:t>(303) 820-1929</w:t>
      </w:r>
    </w:p>
    <w:p>
      <w:pPr>
        <w:pStyle w:val="Normal"/>
        <w:ind w:firstLine="720" w:end="0"/>
        <w:rPr/>
      </w:pPr>
      <w:r>
        <w:rPr/>
        <w:t>From:</w:t>
        <w:tab/>
        <w:tab/>
        <w:tab/>
        <w:tab/>
        <w:t>Enron North America Corp. (“ENA”)</w:t>
      </w:r>
    </w:p>
    <w:p>
      <w:pPr>
        <w:pStyle w:val="Normal"/>
        <w:ind w:firstLine="720" w:end="0"/>
        <w:rPr/>
      </w:pPr>
      <w:r>
        <w:rPr/>
        <w:t>Re:</w:t>
        <w:tab/>
        <w:tab/>
        <w:tab/>
        <w:tab/>
        <w:t xml:space="preserve">Commodity Swap, ENA Deal No. </w:t>
      </w:r>
      <w:r>
        <w:rPr>
          <w:color w:val="0000FF"/>
        </w:rPr>
        <w:t>EQ2889.2</w:t>
      </w:r>
    </w:p>
    <w:p>
      <w:pPr>
        <w:pStyle w:val="Normal"/>
        <w:ind w:firstLine="720" w:end="0"/>
        <w:rPr/>
      </w:pPr>
      <w:r>
        <w:rPr/>
      </w:r>
    </w:p>
    <w:p>
      <w:pPr>
        <w:pStyle w:val="BodyTextIndent"/>
        <w:rPr/>
      </w:pPr>
      <w:r>
        <w:rPr/>
        <w:tab/>
        <w:t xml:space="preserve">The purpose of this letter is to confirm the terms and conditions of the Transaction entered into between us on the Trade Date specified below (the "Transaction").  This letter constitutes a "Confirmation" as referred to in the ISDA Master Agreement specified below. </w:t>
      </w:r>
    </w:p>
    <w:p>
      <w:pPr>
        <w:pStyle w:val="BodyTextIndent"/>
        <w:rPr/>
      </w:pPr>
      <w:r>
        <w:rPr/>
      </w:r>
    </w:p>
    <w:p>
      <w:pPr>
        <w:pStyle w:val="BodyTextIndent2"/>
        <w:rPr>
          <w:sz w:val="20"/>
        </w:rPr>
      </w:pPr>
      <w:r>
        <w:rPr>
          <w:sz w:val="20"/>
        </w:rPr>
        <w:t xml:space="preserve">1. This Confirmation supplements, forms part of, and is subject to an ISDA Master Agreement, as amended and supplemented from time to time (the “Agreement”), between you and us.  All provisions contained in the Agreement govern this Confirmation except as expressly modified below. </w:t>
      </w:r>
      <w:r>
        <w:rPr>
          <w:color w:val="000000"/>
          <w:sz w:val="20"/>
          <w:lang w:eastAsia="en-US"/>
        </w:rPr>
        <w:t>Capitalized terms used but not otherwise defined herein shall have the meanings assigned to said terms in the Agreement.</w:t>
      </w:r>
    </w:p>
    <w:p>
      <w:pPr>
        <w:pStyle w:val="BodyTextIndent"/>
        <w:rPr>
          <w:sz w:val="20"/>
        </w:rPr>
      </w:pPr>
      <w:r>
        <w:rPr>
          <w:sz w:val="20"/>
        </w:rPr>
      </w:r>
    </w:p>
    <w:p>
      <w:pPr>
        <w:pStyle w:val="BodyTextIndent"/>
        <w:rPr/>
      </w:pPr>
      <w:r>
        <w:rPr/>
        <w:tab/>
        <w:t>2. (a)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BodyTextIndent"/>
        <w:rPr/>
      </w:pPr>
      <w:r>
        <w:rPr/>
      </w:r>
    </w:p>
    <w:p>
      <w:pPr>
        <w:pStyle w:val="BodyTextIndent"/>
        <w:tabs>
          <w:tab w:val="left" w:pos="90" w:leader="none"/>
          <w:tab w:val="left" w:pos="2160" w:leader="none"/>
          <w:tab w:val="left" w:pos="4320" w:leader="none"/>
          <w:tab w:val="left" w:pos="6480" w:leader="none"/>
        </w:tabs>
        <w:rPr>
          <w:b/>
          <w:u w:val="single"/>
        </w:rPr>
      </w:pPr>
      <w:r>
        <w:rPr>
          <w:b/>
          <w:u w:val="single"/>
        </w:rPr>
        <w:t>General Terms for Swaption:</w:t>
      </w:r>
    </w:p>
    <w:p>
      <w:pPr>
        <w:pStyle w:val="BodyTextIndent"/>
        <w:tabs>
          <w:tab w:val="left" w:pos="90" w:leader="none"/>
          <w:tab w:val="left" w:pos="2160" w:leader="none"/>
          <w:tab w:val="left" w:pos="4320" w:leader="none"/>
          <w:tab w:val="left" w:pos="6480" w:leader="none"/>
        </w:tabs>
        <w:rPr>
          <w:b/>
          <w:u w:val="single"/>
        </w:rPr>
      </w:pPr>
      <w:r>
        <w:rPr>
          <w:b/>
          <w:u w:val="single"/>
        </w:rPr>
      </w:r>
    </w:p>
    <w:tbl>
      <w:tblPr>
        <w:tblW w:w="8748" w:type="dxa"/>
        <w:jc w:val="start"/>
        <w:tblInd w:w="108" w:type="dxa"/>
        <w:tblLayout w:type="fixed"/>
        <w:tblCellMar>
          <w:top w:w="0" w:type="dxa"/>
          <w:start w:w="108" w:type="dxa"/>
          <w:bottom w:w="0" w:type="dxa"/>
          <w:end w:w="108" w:type="dxa"/>
        </w:tblCellMar>
      </w:tblPr>
      <w:tblGrid>
        <w:gridCol w:w="4320"/>
        <w:gridCol w:w="4428"/>
      </w:tblGrid>
      <w:tr>
        <w:trPr/>
        <w:tc>
          <w:tcPr>
            <w:tcW w:w="4320" w:type="dxa"/>
            <w:tcBorders/>
          </w:tcPr>
          <w:p>
            <w:pPr>
              <w:pStyle w:val="BodyTextIndent"/>
              <w:tabs>
                <w:tab w:val="left" w:pos="90" w:leader="none"/>
                <w:tab w:val="left" w:pos="2160" w:leader="none"/>
                <w:tab w:val="left" w:pos="4320" w:leader="none"/>
                <w:tab w:val="left" w:pos="6480" w:leader="none"/>
              </w:tabs>
              <w:ind w:start="0" w:end="0"/>
              <w:rPr/>
            </w:pPr>
            <w:r>
              <w:rPr/>
              <w:t>Trade Date:</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t>February 11, 2000</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pPr>
            <w:r>
              <w:rPr/>
              <w:t>Option Style:</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t>American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pPr>
            <w:r>
              <w:rPr/>
              <w:t>Option Type:</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t>Swaption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pPr>
            <w:r>
              <w:rPr/>
              <w:t>Seller:</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t>Counterparty</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428" w:type="dxa"/>
            <w:tcBorders/>
          </w:tcPr>
          <w:p>
            <w:pPr>
              <w:pStyle w:val="BodyTextIndent"/>
              <w:tabs>
                <w:tab w:val="clear" w:pos="90"/>
                <w:tab w:val="left" w:pos="0" w:leader="none"/>
                <w:tab w:val="left" w:pos="2160" w:leader="none"/>
                <w:tab w:val="left" w:pos="4140" w:leader="none"/>
                <w:tab w:val="left" w:pos="6480" w:leader="none"/>
              </w:tabs>
              <w:snapToGrid w:val="false"/>
              <w:ind w:start="0" w:end="0"/>
              <w:rPr/>
            </w:pPr>
            <w:r>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pPr>
            <w:r>
              <w:rPr/>
              <w:t>Buyer:</w:t>
            </w:r>
          </w:p>
        </w:tc>
        <w:tc>
          <w:tcPr>
            <w:tcW w:w="4428" w:type="dxa"/>
            <w:tcBorders/>
          </w:tcPr>
          <w:p>
            <w:pPr>
              <w:pStyle w:val="BodyTextIndent"/>
              <w:tabs>
                <w:tab w:val="clear" w:pos="90"/>
                <w:tab w:val="left" w:pos="0" w:leader="none"/>
                <w:tab w:val="left" w:pos="2160" w:leader="none"/>
                <w:tab w:val="left" w:pos="4140" w:leader="none"/>
                <w:tab w:val="left" w:pos="6480" w:leader="none"/>
              </w:tabs>
              <w:ind w:start="0" w:end="0"/>
              <w:rPr/>
            </w:pPr>
            <w:r>
              <w:rPr/>
              <w:t>ENA</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428" w:type="dxa"/>
            <w:tcBorders/>
          </w:tcPr>
          <w:p>
            <w:pPr>
              <w:pStyle w:val="BodyTextIndent"/>
              <w:tabs>
                <w:tab w:val="clear" w:pos="90"/>
                <w:tab w:val="left" w:pos="0" w:leader="none"/>
                <w:tab w:val="left" w:pos="2160" w:leader="none"/>
                <w:tab w:val="left" w:pos="4140" w:leader="none"/>
                <w:tab w:val="left" w:pos="6480" w:leader="none"/>
              </w:tabs>
              <w:snapToGrid w:val="false"/>
              <w:ind w:start="0" w:end="0"/>
              <w:jc w:val="start"/>
              <w:rPr/>
            </w:pPr>
            <w:r>
              <w:rPr/>
            </w:r>
          </w:p>
        </w:tc>
      </w:tr>
    </w:tbl>
    <w:p>
      <w:pPr>
        <w:pStyle w:val="BodyTextIndent"/>
        <w:tabs>
          <w:tab w:val="clear" w:pos="90"/>
          <w:tab w:val="left" w:pos="0" w:leader="none"/>
          <w:tab w:val="left" w:pos="810" w:leader="none"/>
          <w:tab w:val="left" w:pos="2160" w:leader="none"/>
          <w:tab w:val="left" w:pos="4140" w:leader="none"/>
          <w:tab w:val="left" w:pos="6480" w:leader="none"/>
        </w:tabs>
        <w:ind w:hanging="4860" w:start="4140" w:end="-630"/>
        <w:jc w:val="start"/>
        <w:rPr>
          <w:b/>
          <w:u w:val="single"/>
        </w:rPr>
      </w:pPr>
      <w:r>
        <w:rPr>
          <w:b/>
          <w:u w:val="single"/>
        </w:rPr>
        <w:t>Procedure for Exercise:</w:t>
      </w:r>
    </w:p>
    <w:p>
      <w:pPr>
        <w:pStyle w:val="BodyTextIndent"/>
        <w:tabs>
          <w:tab w:val="left" w:pos="90" w:leader="none"/>
          <w:tab w:val="left" w:pos="2160" w:leader="none"/>
          <w:tab w:val="left" w:pos="4140" w:leader="none"/>
          <w:tab w:val="left" w:pos="6480" w:leader="none"/>
        </w:tabs>
        <w:ind w:hanging="4860" w:start="4140" w:end="-630"/>
        <w:jc w:val="start"/>
        <w:rPr>
          <w:b/>
          <w:u w:val="single"/>
        </w:rPr>
      </w:pPr>
      <w:r>
        <w:rPr>
          <w:b/>
          <w:u w:val="single"/>
        </w:rPr>
      </w:r>
    </w:p>
    <w:tbl>
      <w:tblPr>
        <w:tblW w:w="8748" w:type="dxa"/>
        <w:jc w:val="start"/>
        <w:tblInd w:w="108" w:type="dxa"/>
        <w:tblLayout w:type="fixed"/>
        <w:tblCellMar>
          <w:top w:w="0" w:type="dxa"/>
          <w:start w:w="108" w:type="dxa"/>
          <w:bottom w:w="0" w:type="dxa"/>
          <w:end w:w="108" w:type="dxa"/>
        </w:tblCellMar>
      </w:tblPr>
      <w:tblGrid>
        <w:gridCol w:w="4320"/>
        <w:gridCol w:w="4428"/>
      </w:tblGrid>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pPr>
            <w:r>
              <w:rPr/>
              <w:t>Exercise Period:</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t>From and including the Trade Date to and including June 30, 2000 between 8:00 a.m. and 5:00 p.m. (local time in Houston, Texas).</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pPr>
            <w:r>
              <w:rPr/>
              <w:t>Expiration Date:</w:t>
            </w:r>
          </w:p>
        </w:tc>
        <w:tc>
          <w:tcPr>
            <w:tcW w:w="4428" w:type="dxa"/>
            <w:tcBorders/>
          </w:tcPr>
          <w:p>
            <w:pPr>
              <w:pStyle w:val="BodyTextIndent"/>
              <w:tabs>
                <w:tab w:val="left" w:pos="90" w:leader="none"/>
                <w:tab w:val="left" w:pos="2160" w:leader="none"/>
                <w:tab w:val="left" w:pos="4140" w:leader="none"/>
                <w:tab w:val="left" w:pos="6480" w:leader="none"/>
              </w:tabs>
              <w:ind w:start="0" w:end="-630"/>
              <w:jc w:val="start"/>
              <w:rPr/>
            </w:pPr>
            <w:r>
              <w:rPr/>
              <w:t>June 30, 2000</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pPr>
            <w:r>
              <w:rPr/>
              <w:t>Notice of Exercise:</w:t>
            </w:r>
          </w:p>
        </w:tc>
        <w:tc>
          <w:tcPr>
            <w:tcW w:w="4428" w:type="dxa"/>
            <w:tcBorders/>
          </w:tcPr>
          <w:p>
            <w:pPr>
              <w:pStyle w:val="BodyTextIndent"/>
              <w:tabs>
                <w:tab w:val="clear" w:pos="90"/>
                <w:tab w:val="clear" w:pos="2160"/>
                <w:tab w:val="clear" w:pos="6480"/>
              </w:tabs>
              <w:ind w:start="0" w:end="0"/>
              <w:rPr/>
            </w:pPr>
            <w:r>
              <w:rPr/>
              <w:t>An irrevocable notice given by ENA to Counterparty (which may be given orally, including by telephone, or in writing) of its election to enter into the Underlying Transaction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clear" w:pos="90"/>
                <w:tab w:val="clear" w:pos="2160"/>
                <w:tab w:val="clear" w:pos="6480"/>
              </w:tabs>
              <w:snapToGrid w:val="false"/>
              <w:ind w:start="0" w:end="0"/>
              <w:rPr/>
            </w:pPr>
            <w:r>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pPr>
            <w:r>
              <w:rPr/>
              <w:t>Automatic Exercise:</w:t>
            </w:r>
          </w:p>
        </w:tc>
        <w:tc>
          <w:tcPr>
            <w:tcW w:w="4428" w:type="dxa"/>
            <w:tcBorders/>
          </w:tcPr>
          <w:p>
            <w:pPr>
              <w:pStyle w:val="BodyTextIndent"/>
              <w:tabs>
                <w:tab w:val="clear" w:pos="90"/>
                <w:tab w:val="clear" w:pos="2160"/>
                <w:tab w:val="clear" w:pos="6480"/>
              </w:tabs>
              <w:ind w:start="0" w:end="0"/>
              <w:rPr/>
            </w:pPr>
            <w:r>
              <w:rPr/>
              <w:t>Inapplicable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clear" w:pos="90"/>
                <w:tab w:val="clear" w:pos="2160"/>
                <w:tab w:val="clear" w:pos="6480"/>
              </w:tabs>
              <w:snapToGrid w:val="false"/>
              <w:ind w:start="0" w:end="0"/>
              <w:rPr/>
            </w:pPr>
            <w:r>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pPr>
            <w:r>
              <w:rPr/>
              <w:t>Written Confirmation of Notice of Exercise:</w:t>
            </w:r>
          </w:p>
        </w:tc>
        <w:tc>
          <w:tcPr>
            <w:tcW w:w="4428" w:type="dxa"/>
            <w:tcBorders/>
          </w:tcPr>
          <w:p>
            <w:pPr>
              <w:pStyle w:val="BodyTextIndent"/>
              <w:tabs>
                <w:tab w:val="clear" w:pos="90"/>
                <w:tab w:val="clear" w:pos="2160"/>
                <w:tab w:val="clear" w:pos="6480"/>
              </w:tabs>
              <w:ind w:start="0" w:end="0"/>
              <w:rPr>
                <w:strike/>
              </w:rPr>
            </w:pPr>
            <w:r>
              <w:rPr/>
              <w:t>Applicable provided however, that failure to give such written Notice shall in no way affect or suspend the validity of the Notice of Exercise.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trike/>
              </w:rPr>
            </w:pPr>
            <w:r>
              <w:rPr>
                <w:strike/>
              </w:rPr>
            </w:r>
          </w:p>
        </w:tc>
        <w:tc>
          <w:tcPr>
            <w:tcW w:w="4428" w:type="dxa"/>
            <w:tcBorders/>
          </w:tcPr>
          <w:p>
            <w:pPr>
              <w:pStyle w:val="BodyTextIndent"/>
              <w:tabs>
                <w:tab w:val="clear" w:pos="90"/>
                <w:tab w:val="clear" w:pos="2160"/>
                <w:tab w:val="clear" w:pos="6480"/>
              </w:tabs>
              <w:snapToGrid w:val="false"/>
              <w:ind w:start="0" w:end="0"/>
              <w:rPr/>
            </w:pPr>
            <w:r>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pPr>
            <w:r>
              <w:rPr/>
              <w:t>Additional Provisions:</w:t>
            </w:r>
          </w:p>
        </w:tc>
        <w:tc>
          <w:tcPr>
            <w:tcW w:w="4428" w:type="dxa"/>
            <w:tcBorders/>
          </w:tcPr>
          <w:p>
            <w:pPr>
              <w:pStyle w:val="BodyText3"/>
              <w:rPr/>
            </w:pPr>
            <w:r>
              <w:rPr/>
              <w:t>(i) The execution of this Transaction is conditioned upon Counterparty having a Credit Rating as defined in part (ii) hereinbelow on the Expiration Date.  If Counterparty fails to have a Credit Rating on the Expiration Date, then this Transaction shall automatically terminate without further action or payment required by either party.</w:t>
            </w:r>
          </w:p>
          <w:p>
            <w:pPr>
              <w:pStyle w:val="Normal"/>
              <w:jc w:val="both"/>
              <w:rPr/>
            </w:pPr>
            <w:r>
              <w:rPr/>
            </w:r>
          </w:p>
          <w:p>
            <w:pPr>
              <w:pStyle w:val="Normal"/>
              <w:jc w:val="both"/>
              <w:rPr/>
            </w:pPr>
            <w:r>
              <w:rPr/>
              <w:t>(ii) Upon execution of this Transaction and, in particular, with respect to Paragraph 13 of the ISDA Credit Support Annex of the Agreement, the following definitions shall apply to this Transaction:</w:t>
            </w:r>
          </w:p>
          <w:p>
            <w:pPr>
              <w:pStyle w:val="Normal"/>
              <w:jc w:val="both"/>
              <w:rPr/>
            </w:pPr>
            <w:r>
              <w:rPr/>
            </w:r>
          </w:p>
          <w:p>
            <w:pPr>
              <w:pStyle w:val="BodyTextIndent3"/>
              <w:jc w:val="both"/>
              <w:rPr/>
            </w:pPr>
            <w:r>
              <w:rPr/>
              <w:t>“</w:t>
            </w:r>
            <w:r>
              <w:rPr/>
              <w:t>Credit Rating”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In the case of MediaNews Group, Inc., successor in interest to Affiliated Newspapers Investments, Inc., if no rating is assigned to its unsecured, senior long-term debt or deposit obligations, the corporate rating assigned by S&amp;P, Moody’s or the other specified rating agency or agencies shall be used.</w:t>
            </w:r>
          </w:p>
          <w:p>
            <w:pPr>
              <w:pStyle w:val="Normal"/>
              <w:jc w:val="both"/>
              <w:rPr/>
            </w:pPr>
            <w:r>
              <w:rPr/>
            </w:r>
          </w:p>
          <w:p>
            <w:pPr>
              <w:pStyle w:val="BodyTextIndent"/>
              <w:tabs>
                <w:tab w:val="left" w:pos="90" w:leader="none"/>
                <w:tab w:val="left" w:pos="2160" w:leader="none"/>
                <w:tab w:val="left" w:pos="4140" w:leader="none"/>
                <w:tab w:val="left" w:pos="6480" w:leader="none"/>
              </w:tabs>
              <w:ind w:start="0" w:end="0"/>
              <w:rPr/>
            </w:pPr>
            <w:r>
              <w:rPr/>
              <w:t>“</w:t>
            </w:r>
            <w:r>
              <w:rPr/>
              <w:t>Material Adverse Change” means, with respect to Party A, its Credit Support Provider’s Credit Rating is rated below BBB- by S&amp;P or its Credit Support Provider fails to have a Credit Rating from S&amp;P; or (b) with respect to Party B, its (i) Credit Rating is rated below BB- by S&amp;P if it’s senior long term debt is rated or below BB- if it has a corporate rating, or (ii) it fails to have a Credit Rating.</w:t>
            </w:r>
          </w:p>
          <w:p>
            <w:pPr>
              <w:pStyle w:val="BodyTextIndent"/>
              <w:tabs>
                <w:tab w:val="left" w:pos="90" w:leader="none"/>
                <w:tab w:val="left" w:pos="2160" w:leader="none"/>
                <w:tab w:val="left" w:pos="4140" w:leader="none"/>
                <w:tab w:val="left" w:pos="6480" w:leader="none"/>
              </w:tabs>
              <w:ind w:start="0" w:end="0"/>
              <w:rPr/>
            </w:pPr>
            <w:r>
              <w:rPr/>
            </w:r>
          </w:p>
          <w:p>
            <w:pPr>
              <w:pStyle w:val="BodyTextIndent"/>
              <w:tabs>
                <w:tab w:val="left" w:pos="90" w:leader="none"/>
                <w:tab w:val="left" w:pos="2160" w:leader="none"/>
                <w:tab w:val="left" w:pos="4140" w:leader="none"/>
                <w:tab w:val="left" w:pos="6480" w:leader="none"/>
              </w:tabs>
              <w:ind w:start="0" w:end="0"/>
              <w:rPr/>
            </w:pPr>
            <w:r>
              <w:rPr/>
              <w:t>(iii) Contemporaneously with ENA’s Notice of Exercise to the Counterparty, the Parties will revise ENA Deal No. EQ2889.1, to reduce the Fixed Price to U.S. $545.00 per Metric Ton for each Calculation Period commencing after the Notice of Exercise through December 31, 2001. For those Calculation Periods commencing on January 1, 2000 through the Calculation Period during which the Notice of Exercise was given by ENA to Counterparty, ENA shall pay Counterparty U.S. $50.00 per Metric Ton. For all Calculation Periods after December 31, 2001 the Fixed Price shall remain U.S. $595.00 per Metric Ton.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clear" w:pos="90"/>
                <w:tab w:val="clear" w:pos="2160"/>
                <w:tab w:val="clear" w:pos="6480"/>
              </w:tabs>
              <w:snapToGrid w:val="false"/>
              <w:ind w:start="0" w:end="0"/>
              <w:rPr/>
            </w:pPr>
            <w:r>
              <w:rPr/>
            </w:r>
          </w:p>
          <w:p>
            <w:pPr>
              <w:pStyle w:val="BodyTextIndent"/>
              <w:tabs>
                <w:tab w:val="clear" w:pos="90"/>
                <w:tab w:val="clear" w:pos="2160"/>
                <w:tab w:val="clear" w:pos="6480"/>
              </w:tabs>
              <w:ind w:start="0" w:end="0"/>
              <w:rPr/>
            </w:pPr>
            <w:r>
              <w:rPr/>
            </w:r>
          </w:p>
          <w:p>
            <w:pPr>
              <w:pStyle w:val="BodyTextIndent"/>
              <w:tabs>
                <w:tab w:val="clear" w:pos="90"/>
                <w:tab w:val="clear" w:pos="2160"/>
                <w:tab w:val="clear" w:pos="6480"/>
              </w:tabs>
              <w:ind w:start="0" w:end="0"/>
              <w:rPr/>
            </w:pPr>
            <w:r>
              <w:rPr/>
            </w:r>
          </w:p>
          <w:p>
            <w:pPr>
              <w:pStyle w:val="BodyTextIndent"/>
              <w:tabs>
                <w:tab w:val="clear" w:pos="90"/>
                <w:tab w:val="clear" w:pos="2160"/>
                <w:tab w:val="clear" w:pos="6480"/>
              </w:tabs>
              <w:ind w:start="0" w:end="0"/>
              <w:rPr/>
            </w:pPr>
            <w:r>
              <w:rPr/>
            </w:r>
          </w:p>
        </w:tc>
      </w:tr>
    </w:tbl>
    <w:p>
      <w:pPr>
        <w:pStyle w:val="BodyTextIndent"/>
        <w:tabs>
          <w:tab w:val="left" w:pos="90" w:leader="none"/>
          <w:tab w:val="left" w:pos="810" w:leader="none"/>
          <w:tab w:val="left" w:pos="2160" w:leader="none"/>
          <w:tab w:val="left" w:pos="4140" w:leader="none"/>
          <w:tab w:val="left" w:pos="6480" w:leader="none"/>
        </w:tabs>
        <w:ind w:end="-630"/>
        <w:jc w:val="start"/>
        <w:rPr>
          <w:b/>
        </w:rPr>
      </w:pPr>
      <w:r>
        <w:rPr>
          <w:b/>
        </w:rPr>
        <w:t xml:space="preserve"> </w:t>
      </w:r>
      <w:r>
        <w:rPr>
          <w:b/>
        </w:rPr>
        <w:t>(b) The terms of the Underlying Transaction to which the Option relates are as follows:</w:t>
      </w:r>
    </w:p>
    <w:p>
      <w:pPr>
        <w:pStyle w:val="BodyTextIndent"/>
        <w:tabs>
          <w:tab w:val="left" w:pos="90" w:leader="none"/>
          <w:tab w:val="left" w:pos="810" w:leader="none"/>
          <w:tab w:val="left" w:pos="2160" w:leader="none"/>
          <w:tab w:val="left" w:pos="4140" w:leader="none"/>
          <w:tab w:val="left" w:pos="6480" w:leader="none"/>
        </w:tabs>
        <w:ind w:start="0" w:end="-630"/>
        <w:jc w:val="start"/>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Total Notional Quantity:</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500,000 Metric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4428" w:type="dxa"/>
            <w:tcBorders/>
          </w:tcPr>
          <w:p>
            <w:pPr>
              <w:pStyle w:val="BodyTextIndent"/>
              <w:tabs>
                <w:tab w:val="left" w:pos="90" w:leader="none"/>
                <w:tab w:val="left" w:pos="2160" w:leader="none"/>
                <w:tab w:val="left" w:pos="4140" w:leader="none"/>
                <w:tab w:val="left" w:pos="6480" w:leader="none"/>
              </w:tabs>
              <w:ind w:hanging="720" w:start="720" w:end="0"/>
              <w:rPr/>
            </w:pPr>
            <w:r>
              <w:rPr/>
              <w:t>Notional Quantity per Calculation Period:</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4,166.67 Metric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Commodity:</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Standard 48.8 Gram Newsprint</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Commodity Unit:</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Metric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Effective Date:</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January 1, 2002</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Termination Date:</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December 31, 2011</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Calculation Periods:</w:t>
            </w:r>
          </w:p>
        </w:tc>
        <w:tc>
          <w:tcPr>
            <w:tcW w:w="4428" w:type="dxa"/>
            <w:tcBorders/>
          </w:tcPr>
          <w:p>
            <w:pPr>
              <w:pStyle w:val="BodyTextIndent"/>
              <w:tabs>
                <w:tab w:val="left" w:pos="90" w:leader="none"/>
                <w:tab w:val="left" w:pos="810" w:leader="none"/>
                <w:tab w:val="left" w:pos="2160" w:leader="none"/>
                <w:tab w:val="left" w:pos="6480" w:leader="none"/>
              </w:tabs>
              <w:ind w:start="0" w:end="-90"/>
              <w:rPr>
                <w:color w:val="000000"/>
              </w:rPr>
            </w:pPr>
            <w:r>
              <w:rPr>
                <w:color w:val="000000"/>
              </w:rPr>
              <w:t>Monthly periods, with the first Calculation Period commencing on January 1, 2002 and the final Calculation Period ending on December 31, 2011</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p>
            <w:pPr>
              <w:pStyle w:val="BodyTextIndent"/>
              <w:tabs>
                <w:tab w:val="left" w:pos="90" w:leader="none"/>
                <w:tab w:val="left" w:pos="810" w:leader="none"/>
                <w:tab w:val="left" w:pos="2160" w:leader="none"/>
                <w:tab w:val="left" w:pos="4140" w:leader="none"/>
                <w:tab w:val="left" w:pos="6480" w:leader="none"/>
              </w:tabs>
              <w:ind w:start="0" w:end="-630"/>
              <w:jc w:val="start"/>
              <w:rPr/>
            </w:pPr>
            <w:r>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Payment Date(s):</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0"/>
              <w:rPr/>
            </w:pPr>
            <w:r>
              <w:rPr/>
              <w:t>The fifth (5</w:t>
            </w:r>
            <w:r>
              <w:rPr>
                <w:vertAlign w:val="superscript"/>
              </w:rPr>
              <w:t>th</w:t>
            </w:r>
            <w:r>
              <w:rPr/>
              <w:t>) Business Day following the last Pricing Date for the applicable Calculation Period</w:t>
            </w:r>
          </w:p>
        </w:tc>
      </w:tr>
    </w:tbl>
    <w:p>
      <w:pPr>
        <w:pStyle w:val="BodyTextIndent"/>
        <w:tabs>
          <w:tab w:val="left" w:pos="90" w:leader="none"/>
          <w:tab w:val="left" w:pos="2160" w:leader="none"/>
          <w:tab w:val="left" w:pos="4140" w:leader="none"/>
          <w:tab w:val="left" w:pos="4320" w:leader="none"/>
          <w:tab w:val="left" w:pos="6480" w:leader="none"/>
        </w:tabs>
        <w:ind w:start="0" w:end="0"/>
        <w:rPr>
          <w:b/>
        </w:rPr>
      </w:pPr>
      <w:r>
        <w:rPr>
          <w:b/>
        </w:rPr>
      </w:r>
    </w:p>
    <w:p>
      <w:pPr>
        <w:pStyle w:val="BodyTextIndent"/>
        <w:tabs>
          <w:tab w:val="left" w:pos="90" w:leader="none"/>
          <w:tab w:val="left" w:pos="2160" w:leader="none"/>
          <w:tab w:val="left" w:pos="4140" w:leader="none"/>
          <w:tab w:val="left" w:pos="4320" w:leader="none"/>
          <w:tab w:val="left" w:pos="6480" w:leader="none"/>
        </w:tabs>
        <w:rPr>
          <w:b/>
        </w:rPr>
      </w:pPr>
      <w:r>
        <w:rPr>
          <w:b/>
        </w:rPr>
        <w:t>Fixed Amount Details:</w:t>
      </w:r>
    </w:p>
    <w:p>
      <w:pPr>
        <w:pStyle w:val="BodyTextIndent"/>
        <w:tabs>
          <w:tab w:val="left" w:pos="90" w:leader="none"/>
          <w:tab w:val="left" w:pos="2160" w:leader="none"/>
          <w:tab w:val="left" w:pos="4140" w:leader="none"/>
          <w:tab w:val="left" w:pos="4320" w:leader="none"/>
          <w:tab w:val="left" w:pos="6480" w:leader="none"/>
        </w:tabs>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b/>
              </w:rPr>
            </w:pPr>
            <w:r>
              <w:rPr/>
              <w:t>Fixed Price Payer:</w:t>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pPr>
            <w:r>
              <w:rPr/>
              <w:t>Counterparty</w:t>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rPr>
            </w:pPr>
            <w:r>
              <w:rPr>
                <w:b/>
              </w:rPr>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rPr>
            </w:pPr>
            <w:r>
              <w:rPr>
                <w:b/>
              </w:rPr>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pPr>
            <w:r>
              <w:rPr/>
              <w:t>Fixed Price:</w:t>
            </w:r>
          </w:p>
        </w:tc>
        <w:tc>
          <w:tcPr>
            <w:tcW w:w="4428" w:type="dxa"/>
            <w:tcBorders/>
          </w:tcPr>
          <w:p>
            <w:pPr>
              <w:pStyle w:val="Normal"/>
              <w:jc w:val="both"/>
              <w:rPr/>
            </w:pPr>
            <w:r>
              <w:rPr/>
              <w:t>U.S. $590.00 per Metric Ton</w:t>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pPr>
            <w:r>
              <w:rPr/>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pPr>
            <w:r>
              <w:rPr/>
            </w:r>
          </w:p>
        </w:tc>
      </w:tr>
    </w:tbl>
    <w:p>
      <w:pPr>
        <w:pStyle w:val="BodyTextIndent"/>
        <w:tabs>
          <w:tab w:val="left" w:pos="90" w:leader="none"/>
          <w:tab w:val="left" w:pos="2160" w:leader="none"/>
          <w:tab w:val="left" w:pos="4140" w:leader="none"/>
          <w:tab w:val="left" w:pos="4320" w:leader="none"/>
          <w:tab w:val="left" w:pos="6480" w:leader="none"/>
        </w:tabs>
        <w:rPr>
          <w:b/>
        </w:rPr>
      </w:pPr>
      <w:r>
        <w:rPr>
          <w:b/>
        </w:rPr>
      </w:r>
    </w:p>
    <w:p>
      <w:pPr>
        <w:pStyle w:val="BodyTextIndent"/>
        <w:tabs>
          <w:tab w:val="left" w:pos="90" w:leader="none"/>
          <w:tab w:val="left" w:pos="2160" w:leader="none"/>
          <w:tab w:val="left" w:pos="4140" w:leader="none"/>
          <w:tab w:val="left" w:pos="4320" w:leader="none"/>
          <w:tab w:val="left" w:pos="6480" w:leader="none"/>
        </w:tabs>
        <w:rPr>
          <w:b/>
        </w:rPr>
      </w:pPr>
      <w:r>
        <w:rPr>
          <w:b/>
        </w:rPr>
        <w:t>Floating Amount Details:</w:t>
        <w:tab/>
        <w:tab/>
      </w:r>
    </w:p>
    <w:p>
      <w:pPr>
        <w:pStyle w:val="BodyTextIndent"/>
        <w:tabs>
          <w:tab w:val="left" w:pos="90" w:leader="none"/>
          <w:tab w:val="left" w:pos="2160" w:leader="none"/>
          <w:tab w:val="left" w:pos="4140" w:leader="none"/>
          <w:tab w:val="left" w:pos="4320" w:leader="none"/>
          <w:tab w:val="left" w:pos="6480" w:leader="none"/>
        </w:tabs>
        <w:rPr>
          <w:b/>
        </w:rPr>
      </w:pPr>
      <w:r>
        <w:rPr>
          <w:b/>
        </w:rPr>
      </w:r>
    </w:p>
    <w:tbl>
      <w:tblPr>
        <w:tblW w:w="8838" w:type="dxa"/>
        <w:jc w:val="start"/>
        <w:tblInd w:w="0" w:type="dxa"/>
        <w:tblLayout w:type="fixed"/>
        <w:tblCellMar>
          <w:top w:w="0" w:type="dxa"/>
          <w:start w:w="108" w:type="dxa"/>
          <w:bottom w:w="0" w:type="dxa"/>
          <w:end w:w="108" w:type="dxa"/>
        </w:tblCellMar>
      </w:tblPr>
      <w:tblGrid>
        <w:gridCol w:w="4158"/>
        <w:gridCol w:w="4680"/>
      </w:tblGrid>
      <w:tr>
        <w:trPr/>
        <w:tc>
          <w:tcPr>
            <w:tcW w:w="4158" w:type="dxa"/>
            <w:tcBorders/>
          </w:tcPr>
          <w:p>
            <w:pPr>
              <w:pStyle w:val="BodyTextIndent"/>
              <w:tabs>
                <w:tab w:val="left" w:pos="90" w:leader="none"/>
                <w:tab w:val="left" w:pos="2160" w:leader="none"/>
                <w:tab w:val="left" w:pos="4140" w:leader="none"/>
                <w:tab w:val="left" w:pos="6480" w:leader="none"/>
              </w:tabs>
              <w:ind w:start="0" w:end="0"/>
              <w:rPr/>
            </w:pPr>
            <w:r>
              <w:rPr/>
              <w:t>Floating Price Payer:</w:t>
            </w:r>
          </w:p>
        </w:tc>
        <w:tc>
          <w:tcPr>
            <w:tcW w:w="4680" w:type="dxa"/>
            <w:tcBorders/>
          </w:tcPr>
          <w:p>
            <w:pPr>
              <w:pStyle w:val="BodyTextIndent"/>
              <w:tabs>
                <w:tab w:val="left" w:pos="90" w:leader="none"/>
                <w:tab w:val="left" w:pos="2160" w:leader="none"/>
                <w:tab w:val="left" w:pos="4140" w:leader="none"/>
                <w:tab w:val="left" w:pos="6480" w:leader="none"/>
              </w:tabs>
              <w:ind w:start="0" w:end="0"/>
              <w:rPr/>
            </w:pPr>
            <w:r>
              <w:rPr/>
              <w:t>ENA</w:t>
            </w:r>
          </w:p>
        </w:tc>
      </w:tr>
      <w:tr>
        <w:trPr/>
        <w:tc>
          <w:tcPr>
            <w:tcW w:w="415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68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4158" w:type="dxa"/>
            <w:tcBorders/>
          </w:tcPr>
          <w:p>
            <w:pPr>
              <w:pStyle w:val="BodyTextIndent"/>
              <w:tabs>
                <w:tab w:val="left" w:pos="90" w:leader="none"/>
                <w:tab w:val="left" w:pos="2160" w:leader="none"/>
                <w:tab w:val="left" w:pos="4140" w:leader="none"/>
                <w:tab w:val="left" w:pos="6480" w:leader="none"/>
              </w:tabs>
              <w:ind w:start="0" w:end="0"/>
              <w:rPr/>
            </w:pPr>
            <w:r>
              <w:rPr/>
              <w:t>Floating Price:</w:t>
            </w:r>
          </w:p>
        </w:tc>
        <w:tc>
          <w:tcPr>
            <w:tcW w:w="4680" w:type="dxa"/>
            <w:tcBorders/>
          </w:tcPr>
          <w:p>
            <w:pPr>
              <w:pStyle w:val="BodyTextIndent"/>
              <w:tabs>
                <w:tab w:val="left" w:pos="90" w:leader="none"/>
                <w:tab w:val="left" w:pos="2160" w:leader="none"/>
                <w:tab w:val="left" w:pos="4140" w:leader="none"/>
                <w:tab w:val="left" w:pos="6480" w:leader="none"/>
              </w:tabs>
              <w:ind w:start="0" w:end="0"/>
              <w:rPr/>
            </w:pPr>
            <w:r>
              <w:rPr/>
              <w:t xml:space="preserve">The Floating Price for each Calculation Period shall be the price per Metric Ton of Standard 48.8 Gram Newsprint, stated in U.S. Dollars, published under the headings “Table 19:  Newsprint Pricing for Standard 48.8 Gram Newsprint: U.S. Dollars Per Metric Ton, Delivered:  Average Transaction Price For All Buyers:  East Coast”  in the issue of </w:t>
            </w:r>
            <w:r>
              <w:rPr>
                <w:u w:val="single"/>
              </w:rPr>
              <w:t>Paper Trader</w:t>
            </w:r>
            <w:r>
              <w:rPr/>
              <w:t xml:space="preserve"> that reports prices effective on the Pricing Date for such Calculation Period</w:t>
            </w:r>
          </w:p>
        </w:tc>
      </w:tr>
      <w:tr>
        <w:trPr/>
        <w:tc>
          <w:tcPr>
            <w:tcW w:w="415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68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4158" w:type="dxa"/>
            <w:tcBorders/>
          </w:tcPr>
          <w:p>
            <w:pPr>
              <w:pStyle w:val="BodyTextIndent"/>
              <w:tabs>
                <w:tab w:val="left" w:pos="90" w:leader="none"/>
                <w:tab w:val="left" w:pos="2160" w:leader="none"/>
                <w:tab w:val="left" w:pos="4140" w:leader="none"/>
                <w:tab w:val="left" w:pos="6480" w:leader="none"/>
              </w:tabs>
              <w:ind w:start="0" w:end="0"/>
              <w:rPr/>
            </w:pPr>
            <w:r>
              <w:rPr/>
              <w:t>Pricing Date:</w:t>
            </w:r>
          </w:p>
        </w:tc>
        <w:tc>
          <w:tcPr>
            <w:tcW w:w="4680" w:type="dxa"/>
            <w:tcBorders/>
          </w:tcPr>
          <w:p>
            <w:pPr>
              <w:pStyle w:val="BodyTextIndent"/>
              <w:tabs>
                <w:tab w:val="left" w:pos="90" w:leader="none"/>
                <w:tab w:val="left" w:pos="2160" w:leader="none"/>
                <w:tab w:val="left" w:pos="4140" w:leader="none"/>
                <w:tab w:val="left" w:pos="6480" w:leader="none"/>
              </w:tabs>
              <w:ind w:start="0" w:end="0"/>
              <w:rPr/>
            </w:pPr>
            <w:r>
              <w:rPr/>
              <w:t xml:space="preserve">Date of publication  of </w:t>
            </w:r>
            <w:r>
              <w:rPr>
                <w:u w:val="single"/>
              </w:rPr>
              <w:t>Paper Trader</w:t>
            </w:r>
            <w:r>
              <w:rPr/>
              <w:t>, or any successor publication, published by Resource Information Systems, Inc. or its successor (such publication, “</w:t>
            </w:r>
            <w:r>
              <w:rPr>
                <w:u w:val="single"/>
              </w:rPr>
              <w:t>Paper Trader</w:t>
            </w:r>
            <w:r>
              <w:rPr/>
              <w:t>”) for the applicable Calculation Period</w:t>
            </w:r>
          </w:p>
        </w:tc>
      </w:tr>
      <w:tr>
        <w:trPr/>
        <w:tc>
          <w:tcPr>
            <w:tcW w:w="415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68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4158" w:type="dxa"/>
            <w:tcBorders/>
          </w:tcPr>
          <w:p>
            <w:pPr>
              <w:pStyle w:val="BodyTextIndent"/>
              <w:tabs>
                <w:tab w:val="left" w:pos="90" w:leader="none"/>
                <w:tab w:val="left" w:pos="2160" w:leader="none"/>
                <w:tab w:val="left" w:pos="4140" w:leader="none"/>
                <w:tab w:val="left" w:pos="6480" w:leader="none"/>
              </w:tabs>
              <w:ind w:start="0" w:end="0"/>
              <w:rPr/>
            </w:pPr>
            <w:r>
              <w:rPr/>
              <w:t>Fallback Reference Price:</w:t>
            </w:r>
          </w:p>
        </w:tc>
        <w:tc>
          <w:tcPr>
            <w:tcW w:w="4680" w:type="dxa"/>
            <w:tcBorders/>
          </w:tcPr>
          <w:p>
            <w:pPr>
              <w:pStyle w:val="BodyTextIndent"/>
              <w:tabs>
                <w:tab w:val="left" w:pos="90" w:leader="none"/>
                <w:tab w:val="left" w:pos="2160" w:leader="none"/>
                <w:tab w:val="left" w:pos="4140" w:leader="none"/>
                <w:tab w:val="left" w:pos="6480" w:leader="none"/>
              </w:tabs>
              <w:ind w:start="0" w:end="0"/>
              <w:rPr/>
            </w:pPr>
            <w:r>
              <w:rPr/>
              <w:t xml:space="preserve">The Fallback Reference Price for any Calculation Period shall be an amount equal to the sum of (a) the </w:t>
            </w:r>
            <w:r>
              <w:rPr>
                <w:color w:val="FF0000"/>
              </w:rPr>
              <w:t>arithmetic average of the high and low</w:t>
            </w:r>
            <w:r>
              <w:rPr/>
              <w:t xml:space="preserve"> price per </w:t>
            </w:r>
            <w:r>
              <w:rPr>
                <w:color w:val="FF0000"/>
              </w:rPr>
              <w:t>Metric Ton</w:t>
            </w:r>
            <w:r>
              <w:rPr/>
              <w:t xml:space="preserve"> of </w:t>
            </w:r>
            <w:r>
              <w:rPr>
                <w:color w:val="FF0000"/>
              </w:rPr>
              <w:t>Standard 48.8 Gram Newsprint</w:t>
            </w:r>
            <w:r>
              <w:rPr/>
              <w:t>, stated in U.S. Dollars, delivered in the Eastern U.S., published under the heading: “</w:t>
            </w:r>
            <w:r>
              <w:rPr>
                <w:color w:val="FF0000"/>
              </w:rPr>
              <w:t>Price Watch: Paper: Grade: Newsprint: 30-lb East Coast</w:t>
            </w:r>
            <w:r>
              <w:rPr/>
              <w:t xml:space="preserve">” in the issue of </w:t>
            </w:r>
            <w:r>
              <w:rPr>
                <w:color w:val="FF0000"/>
                <w:u w:val="single"/>
              </w:rPr>
              <w:t>Pulp &amp; Paper Week</w:t>
            </w:r>
            <w:r>
              <w:rPr/>
              <w:t xml:space="preserve"> (or its successor publication, as published by </w:t>
            </w:r>
            <w:r>
              <w:rPr>
                <w:color w:val="FF0000"/>
              </w:rPr>
              <w:t>Miller Freeman Inc.</w:t>
            </w:r>
            <w:r>
              <w:rPr/>
              <w:t xml:space="preserve">, or its successor) that reports prices effective for such Calculation Period and (b) an amount (which may be negative) equal to the difference between (i) the average of the prices per </w:t>
            </w:r>
            <w:r>
              <w:rPr>
                <w:color w:val="FF0000"/>
              </w:rPr>
              <w:t>Standard 48.8 Gram Newsprint</w:t>
            </w:r>
            <w:r>
              <w:rPr/>
              <w:t xml:space="preserve"> as determined in accordance with the definition of ‘Floating Price’ above for each month in which such price is available for the twelve calendar months immediately preceding the relevant Calculation Period and (ii) the average of the prices per </w:t>
            </w:r>
            <w:r>
              <w:rPr>
                <w:color w:val="FF0000"/>
              </w:rPr>
              <w:t>Metric Ton</w:t>
            </w:r>
            <w:r>
              <w:rPr/>
              <w:t xml:space="preserve"> of </w:t>
            </w:r>
            <w:r>
              <w:rPr>
                <w:color w:val="FF0000"/>
              </w:rPr>
              <w:t>Standard 48.8 Gram Newsprint</w:t>
            </w:r>
            <w:r>
              <w:rPr/>
              <w:t xml:space="preserve"> as determined in accordance with subsection (a) above for each month in which such price is available for the twelve calendar months immediately preceding the relevant Calculation Period.</w:t>
            </w:r>
          </w:p>
        </w:tc>
      </w:tr>
    </w:tbl>
    <w:p>
      <w:pPr>
        <w:pStyle w:val="BodyTextIndent"/>
        <w:tabs>
          <w:tab w:val="left" w:pos="90" w:leader="none"/>
          <w:tab w:val="left" w:pos="2160" w:leader="none"/>
          <w:tab w:val="left" w:pos="4320" w:leader="none"/>
          <w:tab w:val="left" w:pos="6480" w:leader="none"/>
        </w:tabs>
        <w:ind w:start="0" w:end="0"/>
        <w:rPr/>
      </w:pPr>
      <w:r>
        <w:rPr/>
      </w:r>
    </w:p>
    <w:p>
      <w:pPr>
        <w:pStyle w:val="BodyTextIndent"/>
        <w:tabs>
          <w:tab w:val="left" w:pos="90" w:leader="none"/>
          <w:tab w:val="left" w:pos="2160" w:leader="none"/>
          <w:tab w:val="left" w:pos="4320" w:leader="none"/>
          <w:tab w:val="left" w:pos="6480" w:leader="none"/>
        </w:tabs>
        <w:rPr/>
      </w:pPr>
      <w:r>
        <w:rPr/>
        <w:tab/>
        <w:t>In accordance with the procedures set forth in the Agreement, please confirm that the foregoing correctly sets forth the terms of our agreement by executing the copy of this Confirmation enclosed for that purpose and returning it to us by sending to us a letter substantially similar to this letter, which letter sets forth the material terms of the Transaction to which this letter, to which this Confirmation relates and indicates agreement to those terms.</w:t>
      </w:r>
    </w:p>
    <w:p>
      <w:pPr>
        <w:pStyle w:val="BodyTextIndent"/>
        <w:tabs>
          <w:tab w:val="left" w:pos="90" w:leader="none"/>
          <w:tab w:val="left" w:pos="2160" w:leader="none"/>
          <w:tab w:val="left" w:pos="4320" w:leader="none"/>
          <w:tab w:val="left" w:pos="6480" w:leader="none"/>
        </w:tabs>
        <w:rPr/>
      </w:pPr>
      <w:r>
        <w:rPr/>
        <w:tab/>
        <w:tab/>
        <w:tab/>
      </w:r>
    </w:p>
    <w:p>
      <w:pPr>
        <w:pStyle w:val="BodyTextIndent"/>
        <w:tabs>
          <w:tab w:val="left" w:pos="90" w:leader="none"/>
          <w:tab w:val="left" w:pos="2160" w:leader="none"/>
          <w:tab w:val="left" w:pos="4140" w:leader="none"/>
          <w:tab w:val="left" w:pos="6480" w:leader="none"/>
        </w:tabs>
        <w:rPr/>
      </w:pPr>
      <w:r>
        <w:rPr/>
        <w:tab/>
        <w:tab/>
        <w:tab/>
        <w:t>Yours sincerely,</w:t>
      </w:r>
    </w:p>
    <w:p>
      <w:pPr>
        <w:pStyle w:val="BodyTextIndent"/>
        <w:tabs>
          <w:tab w:val="left" w:pos="90" w:leader="none"/>
          <w:tab w:val="left" w:pos="810" w:leader="none"/>
          <w:tab w:val="left" w:pos="2160" w:leader="none"/>
          <w:tab w:val="left" w:pos="4140" w:leader="none"/>
          <w:tab w:val="left" w:pos="6480" w:leader="none"/>
        </w:tabs>
        <w:rPr/>
      </w:pPr>
      <w:r>
        <w:rPr/>
      </w:r>
    </w:p>
    <w:p>
      <w:pPr>
        <w:pStyle w:val="BodyTextIndent"/>
        <w:tabs>
          <w:tab w:val="left" w:pos="90" w:leader="none"/>
          <w:tab w:val="left" w:pos="810" w:leader="none"/>
          <w:tab w:val="left" w:pos="2160" w:leader="none"/>
          <w:tab w:val="left" w:pos="4140" w:leader="none"/>
          <w:tab w:val="left" w:pos="6480" w:leader="none"/>
        </w:tabs>
        <w:rPr/>
      </w:pPr>
      <w:r>
        <w:rPr/>
        <w:tab/>
        <w:tab/>
        <w:tab/>
        <w:tab/>
        <w:t>Enron North America Corp.</w:t>
      </w:r>
    </w:p>
    <w:p>
      <w:pPr>
        <w:pStyle w:val="BodyTextIndent"/>
        <w:tabs>
          <w:tab w:val="left" w:pos="90" w:leader="none"/>
          <w:tab w:val="left" w:pos="810" w:leader="none"/>
          <w:tab w:val="left" w:pos="2160" w:leader="none"/>
          <w:tab w:val="left" w:pos="4140" w:leader="none"/>
          <w:tab w:val="left" w:pos="6480" w:leader="none"/>
        </w:tabs>
        <w:rPr/>
      </w:pPr>
      <w:r>
        <w:rPr/>
      </w:r>
    </w:p>
    <w:p>
      <w:pPr>
        <w:pStyle w:val="BodyTextIndent"/>
        <w:tabs>
          <w:tab w:val="left" w:pos="90" w:leader="none"/>
          <w:tab w:val="left" w:pos="810" w:leader="none"/>
          <w:tab w:val="left" w:pos="2160" w:leader="none"/>
          <w:tab w:val="left" w:pos="4140" w:leader="none"/>
          <w:tab w:val="left" w:pos="6480" w:leader="none"/>
        </w:tabs>
        <w:rPr/>
      </w:pPr>
      <w:r>
        <w:rPr/>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ab/>
        <w:tab/>
        <w:tab/>
        <w:tab/>
        <w:t xml:space="preserve">By: </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ab/>
        <w:tab/>
        <w:tab/>
        <w:tab/>
        <w:t>Name: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ab/>
        <w:tab/>
        <w:tab/>
        <w:tab/>
        <w:t>Title: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ind w:start="0" w:end="0"/>
        <w:rPr/>
      </w:pPr>
      <w:r>
        <w:rPr/>
      </w:r>
    </w:p>
    <w:p>
      <w:pPr>
        <w:pStyle w:val="BodyTextIndent"/>
        <w:tabs>
          <w:tab w:val="left" w:pos="90" w:leader="none"/>
          <w:tab w:val="left" w:pos="810" w:leader="none"/>
          <w:tab w:val="left" w:pos="2160" w:leader="none"/>
          <w:tab w:val="left" w:pos="4140" w:leader="none"/>
          <w:tab w:val="left" w:pos="5040" w:leader="none"/>
          <w:tab w:val="left" w:pos="6480" w:leader="none"/>
        </w:tabs>
        <w:ind w:start="0" w:end="0"/>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 xml:space="preserve">Contract No. </w:t>
      </w:r>
      <w:r>
        <w:rPr>
          <w:color w:val="0000FF"/>
        </w:rPr>
        <w:t>EQ2889.2</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Confirmed as of date first above written:</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rPr>
      </w:pPr>
      <w:r>
        <w:rPr/>
        <w:t>MediaNews Group, Inc.</w:t>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rPr>
      </w:pPr>
      <w:r>
        <w:rPr>
          <w:color w:val="0000FF"/>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By:  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Name:  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Title:  ____________________________</w:t>
      </w:r>
    </w:p>
    <w:sectPr>
      <w:headerReference w:type="default" r:id="rId3"/>
      <w:footerReference w:type="default" r:id="rId4"/>
      <w:type w:val="nextPage"/>
      <w:pgSz w:w="12240" w:h="15840"/>
      <w:pgMar w:left="1800" w:right="1800" w:gutter="0" w:header="540" w:top="810" w:footer="390" w:bottom="63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sz w:val="16"/>
      </w:rPr>
      <w:t xml:space="preserve">Deal No. </w:t>
    </w:r>
    <w:r>
      <w:rPr>
        <w:rFonts w:cs="Arial" w:ascii="Arial" w:hAnsi="Arial"/>
        <w:color w:val="0000FF"/>
        <w:sz w:val="16"/>
      </w:rPr>
      <w:t>EQ2889.2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720" w:end="0"/>
      <w:jc w:val="both"/>
    </w:pPr>
    <w:rPr>
      <w:sz w:val="22"/>
    </w:rPr>
  </w:style>
  <w:style w:type="paragraph" w:styleId="BodyText2">
    <w:name w:val="Body Text 2"/>
    <w:basedOn w:val="Normal"/>
    <w:qFormat/>
    <w:pPr>
      <w:jc w:val="center"/>
    </w:pPr>
    <w:rPr/>
  </w:style>
  <w:style w:type="paragraph" w:styleId="BodyTextIndent3">
    <w:name w:val="Body Text Indent 3"/>
    <w:basedOn w:val="Normal"/>
    <w:qFormat/>
    <w:pPr>
      <w:ind w:hanging="0" w:start="-18" w:end="0"/>
    </w:pPr>
    <w:rPr/>
  </w:style>
  <w:style w:type="paragraph" w:styleId="BodyText3">
    <w:name w:val="Body Text 3"/>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2000-04-17T16:08:00Z</dcterms:created>
  <dc:creator>wende warren</dc:creator>
  <dc:description/>
  <dc:language>en-CA</dc:language>
  <cp:lastModifiedBy>jcyprow</cp:lastModifiedBy>
  <cp:lastPrinted>2000-04-17T13:49:00Z</cp:lastPrinted>
  <dcterms:modified xsi:type="dcterms:W3CDTF">2000-04-17T16:43:00Z</dcterms:modified>
  <cp:revision>10</cp:revision>
  <dc:subject/>
  <dc:title> </dc:title>
</cp:coreProperties>
</file>