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000" w:type="dxa"/>
        <w:jc w:val="start"/>
        <w:tblInd w:w="-1673" w:type="dxa"/>
        <w:tblLayout w:type="fixed"/>
        <w:tblCellMar>
          <w:top w:w="0" w:type="dxa"/>
          <w:start w:w="0" w:type="dxa"/>
          <w:bottom w:w="0" w:type="dxa"/>
          <w:end w:w="0" w:type="dxa"/>
        </w:tblCellMar>
      </w:tblPr>
      <w:tblGrid>
        <w:gridCol w:w="587"/>
        <w:gridCol w:w="11413"/>
      </w:tblGrid>
      <w:tr>
        <w:trPr/>
        <w:tc>
          <w:tcPr>
            <w:tcW w:w="587"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11413" w:type="dxa"/>
            <w:tcBorders/>
          </w:tcPr>
          <w:p>
            <w:pPr>
              <w:pStyle w:val="Normal"/>
              <w:rPr/>
            </w:pPr>
            <w:r>
              <w:rPr>
                <w:rFonts w:cs="Verdana" w:ascii="Verdana" w:hAnsi="Verdana"/>
                <w:b/>
                <w:bCs/>
                <w:sz w:val="20"/>
                <w:szCs w:val="20"/>
              </w:rPr>
              <w:t>Monday, October 30,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3219450" cy="1571625"/>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1" t="-23" r="-11" b="-23"/>
                          <a:stretch>
                            <a:fillRect/>
                          </a:stretch>
                        </pic:blipFill>
                        <pic:spPr bwMode="auto">
                          <a:xfrm>
                            <a:off x="0" y="0"/>
                            <a:ext cx="3219450" cy="1571625"/>
                          </a:xfrm>
                          <a:prstGeom prst="rect">
                            <a:avLst/>
                          </a:prstGeom>
                          <a:noFill/>
                        </pic:spPr>
                      </pic:pic>
                    </a:graphicData>
                  </a:graphic>
                </wp:inline>
              </w:drawing>
            </w:r>
            <w:r>
              <w:rPr>
                <w:rFonts w:cs="Verdana" w:ascii="Verdana" w:hAnsi="Verdana"/>
                <w:sz w:val="20"/>
                <w:szCs w:val="20"/>
              </w:rPr>
              <w:br/>
              <w:br/>
              <w:t xml:space="preserve">By Debbie Menk </w:t>
              <w:br/>
            </w:r>
            <w:hyperlink r:id="rId3">
              <w:r>
                <w:rPr>
                  <w:rStyle w:val="Hyperlink"/>
                  <w:rFonts w:cs="Verdana" w:ascii="Verdana" w:hAnsi="Verdana"/>
                  <w:sz w:val="20"/>
                  <w:szCs w:val="20"/>
                </w:rPr>
                <w:t>dmenk@ftenergy.com</w:t>
              </w:r>
            </w:hyperlink>
            <w:r>
              <w:rPr>
                <w:rFonts w:cs="Verdana" w:ascii="Verdana" w:hAnsi="Verdana"/>
                <w:sz w:val="20"/>
                <w:szCs w:val="20"/>
              </w:rPr>
              <w:t xml:space="preserve"> </w:t>
            </w:r>
          </w:p>
          <w:p>
            <w:pPr>
              <w:pStyle w:val="NormalWeb"/>
              <w:rPr/>
            </w:pPr>
            <w:r>
              <w:rPr>
                <w:rFonts w:cs="Verdana" w:ascii="Verdana" w:hAnsi="Verdana"/>
                <w:sz w:val="20"/>
                <w:szCs w:val="20"/>
              </w:rPr>
              <w:t xml:space="preserve">If a summer of spiking power prices, rolling blackouts and capacity shortages wasn't enough, the buzz continues that exploding growth of the Internet and web-hosting centers will continue to tax the electrical grid and the nation's electricity supply in the coming years. </w:t>
              <w:br/>
              <w:br/>
              <w:t xml:space="preserve">Due to the profound growth of Internet-related activities and the change in usage patterns over traditional business practices, one might expect that peak demands and load curves would shift. The Internet economy runs 24 hours a day, seven days a week. Office computers are often left running overnight, web hosts and network servers run continuously, and nearly 6% of households connect to the web via digital subscriber line (DSL) connections, which make it an easy matter to leave computers running with uninterrupted Internet service. </w:t>
              <w:br/>
              <w:br/>
              <w:t xml:space="preserve">An analysis of peak demands since 1993 provides some insight into how all this is affecting electricity suppliers. </w:t>
              <w:br/>
              <w:br/>
              <w:t xml:space="preserve">Average peak demand across the U.S. increased 16% between 1993 and 1999. The peak trends in ECAR, NPCC, and MAAC varied the most during this time period, while the actual peaks in these regions increased less than 10% overall in the seven-year period. Peak demands in WSCC, SERC and SPP (allowing for the Entergy switch) fluctuated the least but grew the most steadily, around 14% each. ERCOT peak demand grew the most, nearly 30% over seven years, with a minimum of fluctuation. </w:t>
              <w:br/>
              <w:br/>
            </w:r>
            <w:r>
              <w:drawing>
                <wp:anchor behindDoc="0" distT="0" distB="0" distL="0" distR="0" simplePos="0" locked="0" layoutInCell="1" allowOverlap="1" relativeHeight="3">
                  <wp:simplePos x="0" y="0"/>
                  <wp:positionH relativeFrom="column">
                    <wp:posOffset>-1515745</wp:posOffset>
                  </wp:positionH>
                  <wp:positionV relativeFrom="line">
                    <wp:posOffset>-6401435</wp:posOffset>
                  </wp:positionV>
                  <wp:extent cx="1485900" cy="2228850"/>
                  <wp:effectExtent l="0" t="0" r="0" b="0"/>
                  <wp:wrapSquare wrapText="bothSides"/>
                  <wp:docPr id="2" name="pic3"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3" descr="" title="">
                            <a:hlinkClick r:id="rId5"/>
                          </pic:cNvPr>
                          <pic:cNvPicPr>
                            <a:picLocks noChangeAspect="1" noChangeArrowheads="1"/>
                          </pic:cNvPicPr>
                        </pic:nvPicPr>
                        <pic:blipFill>
                          <a:blip r:embed="rId4"/>
                          <a:srcRect l="-24" t="-16" r="-24" b="-16"/>
                          <a:stretch>
                            <a:fillRect/>
                          </a:stretch>
                        </pic:blipFill>
                        <pic:spPr bwMode="auto">
                          <a:xfrm>
                            <a:off x="0" y="0"/>
                            <a:ext cx="1485900" cy="2228850"/>
                          </a:xfrm>
                          <a:prstGeom prst="rect">
                            <a:avLst/>
                          </a:prstGeom>
                          <a:noFill/>
                        </pic:spPr>
                      </pic:pic>
                    </a:graphicData>
                  </a:graphic>
                </wp:anchor>
              </w:drawing>
            </w:r>
            <w:r>
              <w:rPr>
                <w:rFonts w:cs="Verdana" w:ascii="Verdana" w:hAnsi="Verdana"/>
                <w:sz w:val="20"/>
                <w:szCs w:val="20"/>
              </w:rPr>
              <w:t xml:space="preserve">The swings in peak demand from year to year with only moderate overall annual growth in peak demand suggest that weather remains a larger influence on peak demand than structural changes in the economy. Further supporting such a conclusion are data showing that the time of peak demand has not changed: 90% of peak times in any region except winter-peaking FRCC fall between 2-6 p.m. </w:t>
              <w:br/>
              <w:br/>
              <w:t xml:space="preserve">So where does the energy go? </w:t>
              <w:br/>
              <w:br/>
              <w:t xml:space="preserve">Economists, scientists and consultants are scrambling to measure the Internet's affect on the economy and the energy supply. For example, Mark Mills writing in a May 1999 issue of </w:t>
            </w:r>
            <w:r>
              <w:rPr>
                <w:rFonts w:cs="Verdana" w:ascii="Verdana" w:hAnsi="Verdana"/>
                <w:i/>
                <w:iCs/>
                <w:sz w:val="20"/>
                <w:szCs w:val="20"/>
              </w:rPr>
              <w:t>Forbes Magazine</w:t>
            </w:r>
            <w:r>
              <w:rPr>
                <w:rFonts w:cs="Verdana" w:ascii="Verdana" w:hAnsi="Verdana"/>
                <w:sz w:val="20"/>
                <w:szCs w:val="20"/>
              </w:rPr>
              <w:t xml:space="preserve"> suggested that the Internet economy had the potential to use half of all electrical output within a decade. More recent expert opinions peg the current effect of the Internet on energy consumption anywhere from 1-16% of electricity supply. U.S. Department of Commerce studies show that the growth in household ownership and use of computers has doubled in the past five years, and Internet access by households has increased 60% in the past year and a half. </w:t>
              <w:br/>
              <w:br/>
              <w:t xml:space="preserve">Yet at the moment, conventional space heating and air conditioning (HVAC) continue to dominate energy usage. Residential consumers use 35% of electrical output, two-thirds of which is used for HVAC, water heating, lighting and refrigeration. As the economy expands, room for growth remains in the residential air conditioning and computer markets. Roughly 70% of all households have air conditioning and slightly over 50% own computers. The average residential air conditioner consumes 1,800 kWh of electricity in a year, while average personal computer use draws an estimated 150 kWh. </w:t>
              <w:br/>
              <w:br/>
              <w:t xml:space="preserve">The largest industrial users of electricity remain pulp and paper mills, steel mills and chemical producers. These account for more than 50% of industrial electricity consumption and about one-sixth of total electricity consumption. Industrial production processes use 80% of industrial electricity, while HVAC and lighting consume another 15%. </w:t>
              <w:br/>
              <w:br/>
            </w:r>
            <w:hyperlink r:id="rId6">
              <w:r>
                <w:rPr>
                  <w:rStyle w:val="Hyperlink"/>
                  <w:rFonts w:cs="Verdana" w:ascii="Verdana" w:hAnsi="Verdana"/>
                  <w:sz w:val="20"/>
                  <w:szCs w:val="20"/>
                </w:rPr>
                <w:t>Components of Total Electricity Demand by Industry</w:t>
              </w:r>
            </w:hyperlink>
            <w:r>
              <w:rPr>
                <w:rFonts w:cs="Verdana" w:ascii="Verdana" w:hAnsi="Verdana"/>
                <w:sz w:val="20"/>
                <w:szCs w:val="20"/>
              </w:rPr>
              <w:t xml:space="preserve"> </w:t>
              <w:br/>
              <w:br/>
              <w:t xml:space="preserve">According to a 1994 Department of Commerce industrial survey, computer manufacturers consumed less than 1% of all industrial use of electricity. Even with exponential growth in computer production in the past five years, computer and peripheral manufacturing remains a relatively minor consumer of electricity. </w:t>
              <w:br/>
              <w:br/>
              <w:t xml:space="preserve">Perhaps more telling, real Gross Domestic Product (GDP) has increased more than 4% a year for each of the past five years while energy used per dollar of GDP produced declined in each of those years. </w:t>
              <w:br/>
              <w:br/>
            </w:r>
            <w:hyperlink r:id="rId7">
              <w:r>
                <w:rPr>
                  <w:rStyle w:val="Hyperlink"/>
                  <w:rFonts w:cs="Verdana" w:ascii="Verdana" w:hAnsi="Verdana"/>
                  <w:sz w:val="20"/>
                  <w:szCs w:val="20"/>
                </w:rPr>
                <w:t>Economy Is Using Energy More Efficiently</w:t>
              </w:r>
            </w:hyperlink>
            <w:r>
              <w:rPr>
                <w:rFonts w:cs="Verdana" w:ascii="Verdana" w:hAnsi="Verdana"/>
                <w:sz w:val="20"/>
                <w:szCs w:val="20"/>
              </w:rPr>
              <w:t xml:space="preserve"> </w:t>
              <w:br/>
              <w:br/>
              <w:t xml:space="preserve">Energy efficiencies in motors and lighting, redesign of industrial processes and improved control over HVAC systems contribute to decreasing energy intensity. But structural changes in the overall economy are also cited as possible sources of better energy usage. For example, warehouses supporting Internet stores use less electricity than retail space, while sending files and data over the Internet may save energy otherwise used to ship goods or to fax data on paper. </w:t>
              <w:br/>
              <w:br/>
              <w:t xml:space="preserve">In short, computers, e-business practices and the Internet economy may have come onto the scene with enough gains in efficiency and productivity to offset higher electrical usage. </w:t>
              <w:br/>
              <w:br/>
            </w:r>
          </w:p>
          <w:p>
            <w:pPr>
              <w:pStyle w:val="NormalWeb"/>
              <w:jc w:val="center"/>
              <w:rPr/>
            </w:pPr>
            <w:hyperlink r:id="rId8">
              <w:r>
                <w:rPr>
                  <w:rStyle w:val="Hyperlink"/>
                  <w:rFonts w:cs="Verdana" w:ascii="Verdana" w:hAnsi="Verdana"/>
                  <w:b/>
                  <w:bCs/>
                  <w:sz w:val="20"/>
                  <w:szCs w:val="20"/>
                </w:rPr>
                <w:t>Previous Analysis</w:t>
              </w:r>
              <w:r>
                <w:rPr>
                  <w:rStyle w:val="Hyperlink"/>
                  <w:rFonts w:cs="Verdana" w:ascii="Verdana" w:hAnsi="Verdana"/>
                  <w:sz w:val="20"/>
                  <w:szCs w:val="20"/>
                </w:rPr>
                <w:t xml:space="preserve"> </w:t>
              </w:r>
            </w:hyperlink>
          </w:p>
          <w:tbl>
            <w:tblPr>
              <w:tblW w:w="5000" w:type="pct"/>
              <w:jc w:val="start"/>
              <w:tblInd w:w="8" w:type="dxa"/>
              <w:tblLayout w:type="fixed"/>
              <w:tblCellMar>
                <w:top w:w="15" w:type="dxa"/>
                <w:start w:w="15" w:type="dxa"/>
                <w:bottom w:w="15" w:type="dxa"/>
                <w:end w:w="15" w:type="dxa"/>
              </w:tblCellMar>
            </w:tblPr>
            <w:tblGrid>
              <w:gridCol w:w="11413"/>
            </w:tblGrid>
            <w:tr>
              <w:trPr/>
              <w:tc>
                <w:tcPr>
                  <w:tcW w:w="11413" w:type="dxa"/>
                  <w:tcBorders/>
                  <w:vAlign w:val="center"/>
                </w:tcPr>
                <w:p>
                  <w:pPr>
                    <w:pStyle w:val="Normal"/>
                    <w:jc w:val="center"/>
                    <w:rPr>
                      <w:rFonts w:ascii="Arial Unicode MS" w:hAnsi="Arial Unicode MS" w:eastAsia="Arial Unicode MS" w:cs="Arial Unicode MS"/>
                    </w:rPr>
                  </w:pPr>
                  <w:r>
                    <w:fldChar w:fldCharType="begin"/>
                  </w:r>
                  <w:r>
                    <w:rPr>
                      <w:rStyle w:val="Hyperlink"/>
                      <w:sz w:val="20"/>
                      <w:b/>
                      <w:szCs w:val="20"/>
                      <w:bCs/>
                      <w:rFonts w:cs="Verdana" w:ascii="Verdana" w:hAnsi="Verdana"/>
                    </w:rPr>
                    <w:instrText xml:space="preserve"> HYPERLINK "http://public.resdata.com/archive/2000/10/30/main.asp" \l "top"</w:instrText>
                  </w:r>
                  <w:r>
                    <w:rPr>
                      <w:rStyle w:val="Hyperlink"/>
                      <w:sz w:val="20"/>
                      <w:b/>
                      <w:szCs w:val="20"/>
                      <w:bCs/>
                      <w:rFonts w:cs="Verdana" w:ascii="Verdana" w:hAnsi="Verdana"/>
                    </w:rPr>
                    <w:fldChar w:fldCharType="separate"/>
                  </w:r>
                  <w:r>
                    <w:rPr>
                      <w:rStyle w:val="Hyperlink"/>
                      <w:rFonts w:cs="Verdana" w:ascii="Verdana" w:hAnsi="Verdana"/>
                      <w:b/>
                      <w:bCs/>
                      <w:sz w:val="20"/>
                      <w:szCs w:val="20"/>
                    </w:rPr>
                    <w:t>Beginning of Story</w:t>
                  </w:r>
                  <w:r>
                    <w:rPr>
                      <w:rStyle w:val="Hyperlink"/>
                      <w:sz w:val="20"/>
                      <w:b/>
                      <w:szCs w:val="20"/>
                      <w:bCs/>
                      <w:rFonts w:cs="Verdana" w:ascii="Verdana" w:hAnsi="Verdana"/>
                    </w:rPr>
                    <w:fldChar w:fldCharType="end"/>
                  </w:r>
                  <w:r>
                    <w:rPr>
                      <w:rFonts w:cs="Verdana" w:ascii="Verdana" w:hAnsi="Verdana"/>
                      <w:sz w:val="20"/>
                      <w:szCs w:val="20"/>
                    </w:rPr>
                    <w:t xml:space="preserve"> </w:t>
                    <w:br/>
                    <w:br/>
                  </w:r>
                  <w:r>
                    <w:rPr>
                      <w:rFonts w:cs="Verdana" w:ascii="Verdana" w:hAnsi="Verdana"/>
                      <w:b/>
                      <w:bCs/>
                      <w:sz w:val="20"/>
                      <w:szCs w:val="20"/>
                    </w:rPr>
                    <w:t xml:space="preserve">Please </w:t>
                  </w:r>
                  <w:hyperlink r:id="rId9">
                    <w:r>
                      <w:rPr>
                        <w:rStyle w:val="Hyperlink"/>
                        <w:rFonts w:cs="Verdana" w:ascii="Verdana" w:hAnsi="Verdana"/>
                        <w:b/>
                        <w:bCs/>
                        <w:sz w:val="20"/>
                        <w:szCs w:val="20"/>
                      </w:rPr>
                      <w:t>let us know</w:t>
                    </w:r>
                  </w:hyperlink>
                  <w:r>
                    <w:rPr>
                      <w:rFonts w:cs="Verdana" w:ascii="Verdana" w:hAnsi="Verdana"/>
                      <w:b/>
                      <w:bCs/>
                      <w:sz w:val="20"/>
                      <w:szCs w:val="20"/>
                    </w:rPr>
                    <w:t xml:space="preserve"> what you think of Energy Insight. Your feedback is always appreciated.</w:t>
                  </w:r>
                  <w:r>
                    <w:rPr>
                      <w:rFonts w:cs="Verdana" w:ascii="Verdana" w:hAnsi="Verdana"/>
                      <w:sz w:val="20"/>
                      <w:szCs w:val="20"/>
                    </w:rPr>
                    <w:t xml:space="preserve"> </w:t>
                  </w:r>
                </w:p>
              </w:tc>
            </w:tr>
          </w:tbl>
          <w:p>
            <w:pPr>
              <w:pStyle w:val="Normal"/>
              <w:spacing w:before="0" w:after="240"/>
              <w:rPr/>
            </w:pPr>
            <w:r>
              <w:rPr/>
            </w:r>
          </w:p>
          <w:p>
            <w:pPr>
              <w:pStyle w:val="NormalWeb"/>
              <w:jc w:val="center"/>
              <w:rPr/>
            </w:pPr>
            <w:hyperlink r:id="rId10">
              <w:r>
                <w:rPr>
                  <w:rStyle w:val="Hyperlink"/>
                  <w:rFonts w:cs="Verdana" w:ascii="Verdana" w:hAnsi="Verdana"/>
                  <w:sz w:val="15"/>
                  <w:szCs w:val="15"/>
                </w:rPr>
                <w:t>Copyright © 2000 - Financial Times Energy. All Rights Reserved</w:t>
              </w:r>
            </w:hyperlink>
            <w:r>
              <w:rPr>
                <w:rFonts w:cs="Verdana" w:ascii="Verdana" w:hAnsi="Verdana"/>
                <w:sz w:val="15"/>
                <w:szCs w:val="15"/>
              </w:rPr>
              <w:t xml:space="preserve"> </w:t>
            </w:r>
          </w:p>
          <w:p>
            <w:pPr>
              <w:pStyle w:val="Normal"/>
              <w:rPr>
                <w:rFonts w:ascii="Arial Unicode MS" w:hAnsi="Arial Unicode MS" w:eastAsia="Arial Unicode MS" w:cs="Arial Unicode MS"/>
              </w:rPr>
            </w:pPr>
            <w:r>
              <w:rPr/>
              <w:br/>
              <w:br/>
            </w:r>
          </w:p>
        </w:tc>
      </w:tr>
    </w:tbl>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menk@ftenergy.com" TargetMode="External"/><Relationship Id="rId4" Type="http://schemas.openxmlformats.org/officeDocument/2006/relationships/image" Target="media/image2.png"/><Relationship Id="rId5" Type="http://schemas.openxmlformats.org/officeDocument/2006/relationships/hyperlink" Target="file:///mnt/main-storage/datasets/enron-docs/doc/data_sheet.asp" TargetMode="External"/><Relationship Id="rId6" Type="http://schemas.openxmlformats.org/officeDocument/2006/relationships/hyperlink" Target="http://public.resdata.com/archive/2000/10/30/page1.asp" TargetMode="External"/><Relationship Id="rId7" Type="http://schemas.openxmlformats.org/officeDocument/2006/relationships/hyperlink" Target="http://public.resdata.com/archive/2000/10/30/page2.asp" TargetMode="External"/><Relationship Id="rId8" Type="http://schemas.openxmlformats.org/officeDocument/2006/relationships/hyperlink" Target="http://public.resdata.com/archive/2000/10/27/main.asp" TargetMode="External"/><Relationship Id="rId9" Type="http://schemas.openxmlformats.org/officeDocument/2006/relationships/hyperlink" Target="http://public.resdata.com/ei_modules/Essentials/feedback.asp" TargetMode="External"/><Relationship Id="rId10" Type="http://schemas.openxmlformats.org/officeDocument/2006/relationships/hyperlink" Target="http://public.resdata.com/ei_modules/Essentials/copyright.asp"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2000-10-31T13:27:00Z</dcterms:created>
  <dc:creator>mbuster</dc:creator>
  <dc:description/>
  <dc:language>en-CA</dc:language>
  <cp:lastModifiedBy>mbuster</cp:lastModifiedBy>
  <dcterms:modified xsi:type="dcterms:W3CDTF">2000-10-31T13:31:00Z</dcterms:modified>
  <cp:revision>1</cp:revision>
  <dc:subject/>
  <dc:title>Monday, October 30, 2000 </dc:title>
</cp:coreProperties>
</file>