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keepNext w:val="true"/>
        <w:keepLines/>
        <w:spacing w:lineRule="atLeast" w:line="240" w:before="400" w:after="120"/>
        <w:ind w:hanging="0" w:start="-840" w:end="0"/>
        <w:rPr/>
      </w:pPr>
      <w:r>
        <w:rPr>
          <w:rFonts w:eastAsia="Arial Black"/>
        </w:rPr>
        <w:t xml:space="preserve">  </w:t>
      </w:r>
      <w:r>
        <w:rPr/>
        <w:t>Memo</w:t>
      </w:r>
      <w:r>
        <mc:AlternateContent>
          <mc:Choice Requires="wps">
            <w:drawing>
              <wp:anchor behindDoc="0" distT="118745" distB="118745" distL="118745" distR="118745" simplePos="0" locked="0" layoutInCell="0" allowOverlap="1" relativeHeight="2">
                <wp:simplePos x="0" y="0"/>
                <wp:positionH relativeFrom="page">
                  <wp:posOffset>4540250</wp:posOffset>
                </wp:positionH>
                <wp:positionV relativeFrom="page">
                  <wp:posOffset>640715</wp:posOffset>
                </wp:positionV>
                <wp:extent cx="2506345" cy="901700"/>
                <wp:effectExtent l="0" t="0" r="0" b="0"/>
                <wp:wrapTopAndBottom/>
                <wp:docPr id="1" name="Frame1"/>
                <a:graphic xmlns:a="http://schemas.openxmlformats.org/drawingml/2006/main">
                  <a:graphicData uri="http://schemas.microsoft.com/office/word/2010/wordprocessingShape">
                    <wps:wsp>
                      <wps:cNvSpPr txBox="1"/>
                      <wps:spPr>
                        <a:xfrm>
                          <a:off x="0" y="0"/>
                          <a:ext cx="2506345" cy="901700"/>
                        </a:xfrm>
                        <a:prstGeom prst="rect"/>
                        <a:solidFill>
                          <a:srgbClr val="FFFFFF">
                            <a:alpha val="0"/>
                          </a:srgbClr>
                        </a:solidFill>
                        <a:ln w="9525">
                          <a:solidFill>
                            <a:srgbClr val="000000"/>
                          </a:solidFill>
                        </a:ln>
                      </wps:spPr>
                      <wps:txbx>
                        <w:txbxContent>
                          <w:p>
                            <w:pPr>
                              <w:pStyle w:val="CompanyName"/>
                              <w:rPr/>
                            </w:pPr>
                            <w:r>
                              <w:rPr/>
                              <w:t>Western Gas Resources, Inc.</w:t>
                            </w:r>
                          </w:p>
                        </w:txbxContent>
                      </wps:txbx>
                      <wps:bodyPr anchor="t" lIns="114300" tIns="114300" rIns="114300" bIns="114300">
                        <a:noAutofit/>
                      </wps:bodyPr>
                    </wps:wsp>
                  </a:graphicData>
                </a:graphic>
              </wp:anchor>
            </w:drawing>
          </mc:Choice>
          <mc:Fallback>
            <w:pict>
              <v:rect fillcolor="#FFFFFF" strokecolor="#000000" strokeweight="0pt" style="position:absolute;rotation:-0;width:197.35pt;height:71pt;mso-wrap-distance-left:9.35pt;mso-wrap-distance-right:9.35pt;mso-wrap-distance-top:9.35pt;mso-wrap-distance-bottom:9.35pt;margin-top:50.45pt;mso-position-vertical-relative:page;margin-left:357.5pt;mso-position-horizontal-relative:page">
                <v:fill opacity="0f"/>
                <v:textbox inset="0.125in,0.125in,0.125in,0.125in">
                  <w:txbxContent>
                    <w:p>
                      <w:pPr>
                        <w:pStyle w:val="CompanyName"/>
                        <w:rPr/>
                      </w:pPr>
                      <w:r>
                        <w:rPr/>
                        <w:t>Western Gas Resources, Inc.</w:t>
                      </w:r>
                    </w:p>
                  </w:txbxContent>
                </v:textbox>
                <w10:wrap type="topAndBottom"/>
              </v:rect>
            </w:pict>
          </mc:Fallback>
        </mc:AlternateContent>
      </w:r>
    </w:p>
    <w:p>
      <w:pPr>
        <w:pStyle w:val="MessageHeaderFirst"/>
        <w:rPr/>
      </w:pPr>
      <w:r>
        <w:rPr>
          <w:rStyle w:val="MessageHeaderLabel"/>
          <w:spacing w:val="-25"/>
        </w:rPr>
        <w:t>T</w:t>
      </w:r>
      <w:r>
        <w:rPr>
          <w:rStyle w:val="MessageHeaderLabel"/>
        </w:rPr>
        <w:t>o:</w:t>
      </w:r>
      <w:r>
        <w:rPr/>
        <w:tab/>
        <w:t>Dave Keanini</w:t>
      </w:r>
    </w:p>
    <w:p>
      <w:pPr>
        <w:pStyle w:val="MessageHeader"/>
        <w:rPr/>
      </w:pPr>
      <w:r>
        <w:rPr>
          <w:rStyle w:val="MessageHeaderLabel"/>
        </w:rPr>
        <w:t>From:</w:t>
      </w:r>
      <w:r>
        <w:rPr/>
        <w:tab/>
        <w:t>Chris Martinez</w:t>
      </w:r>
    </w:p>
    <w:p>
      <w:pPr>
        <w:pStyle w:val="MessageHeader"/>
        <w:rPr/>
      </w:pPr>
      <w:r>
        <w:rPr>
          <w:rStyle w:val="MessageHeaderLabel"/>
        </w:rPr>
        <w:t>CC:</w:t>
      </w:r>
      <w:r>
        <w:rPr/>
        <w:tab/>
        <w:t>Tony Marques, Steve Weinhold, Elias Cortina – Stone &amp; Webster</w:t>
      </w:r>
    </w:p>
    <w:p>
      <w:pPr>
        <w:pStyle w:val="MessageHeader"/>
        <w:rPr/>
      </w:pPr>
      <w:r>
        <w:rPr>
          <w:rStyle w:val="MessageHeaderLabel"/>
        </w:rPr>
        <w:t>Date:</w:t>
      </w:r>
      <w:r>
        <w:rPr/>
        <w:tab/>
        <w:t>December 9, 1999</w:t>
      </w:r>
    </w:p>
    <w:p>
      <w:pPr>
        <w:pStyle w:val="MessageHeaderLast"/>
        <w:rPr/>
      </w:pPr>
      <w:r>
        <w:rPr>
          <w:rStyle w:val="MessageHeaderLabel"/>
        </w:rPr>
        <w:t>Re:</w:t>
      </w:r>
      <w:r>
        <w:rPr/>
        <w:tab/>
        <w:t>Fort Union Methanol Spill Information</w:t>
      </w:r>
    </w:p>
    <w:p>
      <w:pPr>
        <w:pStyle w:val="BodyText"/>
        <w:rPr/>
      </w:pPr>
      <w:r>
        <w:rPr/>
        <w:t>As you requested, the following provides the chronology of event associated with the Fort Union methanol spill as well as the additional items still outstanding.</w:t>
      </w:r>
    </w:p>
    <w:p>
      <w:pPr>
        <w:pStyle w:val="BodyText"/>
        <w:rPr/>
      </w:pPr>
      <w:r>
        <w:rPr/>
        <w:t xml:space="preserve">Saturday, August 21, 1999 – Approximately 5,000 gallons of methanol were spilled at the Fort Union pipeline valve station #5.  This location is approximately 20 yards north of the Highland Loop road in Converse County (~25 miles NW of Douglas).  </w:t>
      </w:r>
    </w:p>
    <w:p>
      <w:pPr>
        <w:pStyle w:val="BodyText"/>
        <w:rPr/>
      </w:pPr>
      <w:r>
        <w:rPr/>
        <w:t>Due to the fact that methanol is a federally listed hazardous substance and that the amount spilled was greater than the reportable quantity (RQ=5,000 lbs.), the spill was required to be reported to the National Response Center and the Wyoming Department of Environmental Quality (WDEQ).  As a courtesy, the Wyoming Oil &amp; Gas Conservation Commission was also notified.  All reports were made on Sunday, August 22, 1999 which was when I was notified by Karl Durant via telephone at my residence.</w:t>
      </w:r>
    </w:p>
    <w:p>
      <w:pPr>
        <w:pStyle w:val="BodyText"/>
        <w:rPr/>
      </w:pPr>
      <w:r>
        <w:rPr/>
        <w:t>The WDEQ forwarded the information to their Emergency Response Coordinator – Mr. Bill Palmer in Cheyenne.  He and I discussed the spill on Monday, August 23, 1999.  Mr. Palmer determined that the spill did not pose an immediate threat to human health or environment.  Mr. Palmer then indicated that the WDEQ Solid &amp; Hazardous Waste Division (SHWD) had guidelines for remediating hazardous substance spills and specifically for methanol.  He referred the situation to Mr. Jerry Breed.  Mr. Breed sent me the guideline for remediating methanol spills and indicated that the remediation would be handled by Mr. Richard Jack of their Lander office.</w:t>
      </w:r>
    </w:p>
    <w:p>
      <w:pPr>
        <w:pStyle w:val="BodyText"/>
        <w:rPr/>
      </w:pPr>
      <w:r>
        <w:rPr/>
        <w:t>On August 24, 1999 I visited the site of the spill and took preliminary samples to determine the area of impact.  Seven samples were taken on the 24</w:t>
      </w:r>
      <w:r>
        <w:rPr>
          <w:vertAlign w:val="superscript"/>
        </w:rPr>
        <w:t>th</w:t>
      </w:r>
      <w:r>
        <w:rPr/>
        <w:t xml:space="preserve"> and analyzed for methanol.  These grab samples were also used to identify the severity (concentration) of the contamination.  Once the analyses were received, a summary report was prepared with the follow-up information requested by the WDEQ.  This summary report was submitted to the WDEQ/SHWD (Mr. Bill Palmer) on Friday, August 27, 1999.</w:t>
      </w:r>
    </w:p>
    <w:p>
      <w:pPr>
        <w:pStyle w:val="BodyText"/>
        <w:rPr/>
      </w:pPr>
      <w:r>
        <w:rPr/>
        <w:t>Subsequent telephone conversations with Mr. Jack indicated that in order to remediate the impacted soil to less than 1,000 mg/kg methanol, WGR would be required to carry out the process in containers.  This would allow a 90 day treatment window without requiring a  hazardous waste permit or a corrective action order.  Additional samples were taken on September 15, 1999 to better identify the extent of the impacted area.  A four by three grid on approximately 30 ft spacing was laid out and to identify the sample locations.  These sample results indicated the main area of contamination was confined to an area approximately 30 ft by 90 ft.  The average depth based on previous samples was estimated to be 1 ft.  This translates into approximately 100 cubic yards of methanol contaminated soil.  Once excavated, the soil is expected to expand by 20% which results in 120 total cubic yards of material.</w:t>
      </w:r>
    </w:p>
    <w:p>
      <w:pPr>
        <w:pStyle w:val="BodyText"/>
        <w:rPr/>
      </w:pPr>
      <w:r>
        <w:rPr/>
        <w:t>Originally, it was thought we could excavate the soils and place it into several roll-off boxes equipped with perforated pipe.  Air would then be blown through the pipe and through the soil.  This would essentially aerate the soil and the methanol would vaporize out of the soil.  This was going to take all if not more than the allowed 90 days for treatment due to the colder weather setting in.  The cost for this method would be approximately $50,000.</w:t>
      </w:r>
    </w:p>
    <w:p>
      <w:pPr>
        <w:pStyle w:val="BodyText"/>
        <w:rPr/>
      </w:pPr>
      <w:r>
        <w:rPr/>
        <w:t>It was indicated at this time that it would be beneficial to complete the remediation prior to the end of the year.  With a short time-frame imposed I looked into excavating the soil and transporting it to an authorized disposal facility.  Trucking and disposal (incineration) costs inflate the cost to the $120,000 to $130,000 range.</w:t>
      </w:r>
    </w:p>
    <w:p>
      <w:pPr>
        <w:pStyle w:val="BodyText"/>
        <w:rPr/>
      </w:pPr>
      <w:r>
        <w:rPr/>
        <w:t>Discussions with the WDEQ/SHWD have been started to see if natural attenuation may be a possible treatment option.  It has already been shown that the methanol levels have been reduced near the surface.  A Risk Based Corrective Action (RBCA) approach may serve as an appropriate tool to set clean-up levels higher than the conservative 1,000 mg/kg level set in the WDEQ/SHWD guideline.  This method would include completing the calculations to determine the clean-up level based on surrounding land use, distance to surface water and depth to groundwater as well as the relative toxicity of methanol and other risk factors.  Small equipment would be used to till the near surface soil periodically.  The cost for this method would be minimal and involve equipment and analytical costs which would be approximately $4,000 per sampling round.  I have talked with Mr. Richard Jack and he indicated that this would be acceptable to the SHWD but would entail a Voluntary Corrective Action Order (VCAO).  The process for this would be for WGR to submit calculations and data to support a clean-up level other than the 1,000 mg/kg or accept this level, what time frame and method is proposed to reach this level.  The SHWD will then review the proposal and evaluate the numbers and strategy.  The SHWD will draft the order and the Environmental Quality Council will review and approve the next time they meet.  Once the EQC approves the order, WGR will be required to complete the project by the date specified.  According to Mr. Jack, there is no real rush to get this underway but would expect the clean-up to be complete by the Summer of 2000.  I expressed concern that we couldn’t actually start the work until the order is approved by the Council.  He indicated that we can submit the information and that they could evaluate it at that time.  They may be able to approve a temporary work plan while we wait for the Council’s next meeting.  This will be, by far, the least expensive alternative to remediate the spill.</w:t>
      </w:r>
    </w:p>
    <w:p>
      <w:pPr>
        <w:pStyle w:val="BodyText"/>
        <w:rPr/>
      </w:pPr>
      <w:r>
        <w:rPr/>
        <w:t>I plan to collect the samples along the east and south side of the spill area the week of December 13, 1999 and have results by the week after Christmas.  A proposal will be ready for internal review the second week of January.  Once finalized, the plan can be submitted to the SHWD for their review.  At any rate, the conservative 1,000 mg/kg level should be able to be met well before July 2000.</w:t>
      </w:r>
    </w:p>
    <w:p>
      <w:pPr>
        <w:pStyle w:val="BodyText"/>
        <w:spacing w:lineRule="atLeast" w:line="180" w:before="0" w:after="220"/>
        <w:jc w:val="both"/>
        <w:rPr/>
      </w:pPr>
      <w:r>
        <w:rPr/>
        <w:t>In summary, we should submit information supporting higher closure concentrations based on the factors listed above, help the SHWD draft the VCAO and let the EQC approve it.  The SHWD may allow work to begin prior to the EQC approving the VCAO.  Mr. Jack did not seem concerned that the possibility exists that we may not be able to start work for a few weeks.  He indicated that this did not constitute an emergency situation and require immediate action as long as it was finished by mid-summer of 2000.  Total costs for the project assuming a 6 month duration is estimated to be $25,000.  This cost includes analytical costs for 10 to 15 samples per month and labor and equipment to till the soil on a monthly basis.  If you have any questions or would like to add comments/suggestions to the proposal to be written, please contact me at extension 8418.</w:t>
      </w:r>
    </w:p>
    <w:sectPr>
      <w:headerReference w:type="default" r:id="rId2"/>
      <w:headerReference w:type="first" r:id="rId3"/>
      <w:type w:val="nextPage"/>
      <w:pgSz w:w="12240" w:h="15840"/>
      <w:pgMar w:left="1440" w:right="1440" w:gutter="0" w:header="965"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rPr/>
    </w:pPr>
    <w:r>
      <w:rPr/>
      <w:t>Dave Keanini</w:t>
    </w:r>
  </w:p>
  <w:p>
    <w:pPr>
      <w:pStyle w:val="Header"/>
      <w:spacing w:before="0" w:after="0"/>
      <w:rPr/>
    </w:pPr>
    <w:r>
      <w:rPr/>
      <w:t>Fort Union Methanol Spill Information</w:t>
    </w:r>
  </w:p>
  <w:p>
    <w:pPr>
      <w:pStyle w:val="Header"/>
      <w:spacing w:before="0" w:after="0"/>
      <w:rPr/>
    </w:pPr>
    <w:r>
      <w:rPr/>
      <w:t>December 9, 1999</w:t>
    </w:r>
  </w:p>
  <w:p>
    <w:pPr>
      <w:pStyle w:val="Header"/>
      <w:spacing w:before="0" w:after="0"/>
      <w:rPr>
        <w:lang w:eastAsia="en-US"/>
      </w:rPr>
    </w:pPr>
    <w:r>
      <w:rPr>
        <w:lang w:eastAsia="en-US"/>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2</w:t>
    </w:r>
    <w:r>
      <w:rPr>
        <w:rStyle w:val="PageNumber"/>
      </w:rPr>
      <w:fldChar w:fldCharType="end"/>
    </w:r>
  </w:p>
  <w:p>
    <w:pPr>
      <w:pStyle w:val="Header"/>
      <w:spacing w:before="0" w:after="0"/>
      <w:rPr>
        <w:lang w:val="en-CA" w:eastAsia="en-US"/>
      </w:rPr>
    </w:pPr>
    <w:r>
      <w:rPr>
        <w:lang w:val="en-CA" w:eastAsia="en-US"/>
      </w:rPr>
      <mc:AlternateContent>
        <mc:Choice Requires="wps">
          <w:drawing>
            <wp:anchor behindDoc="1" distT="0" distB="0" distL="114935" distR="114935" simplePos="0" locked="0" layoutInCell="1" allowOverlap="1" relativeHeight="3">
              <wp:simplePos x="0" y="0"/>
              <wp:positionH relativeFrom="column">
                <wp:posOffset>0</wp:posOffset>
              </wp:positionH>
              <wp:positionV relativeFrom="paragraph">
                <wp:posOffset>83185</wp:posOffset>
              </wp:positionV>
              <wp:extent cx="5943600" cy="0"/>
              <wp:effectExtent l="0" t="5080" r="0" b="5080"/>
              <wp:wrapNone/>
              <wp:docPr id="2" name=""/>
              <a:graphic xmlns:a="http://schemas.openxmlformats.org/drawingml/2006/main">
                <a:graphicData uri="http://schemas.microsoft.com/office/word/2010/wordprocessingShape">
                  <wps:wsp>
                    <wps:cNvSpPr/>
                    <wps:spPr>
                      <a:xfrm>
                        <a:off x="0" y="0"/>
                        <a:ext cx="5943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6.55pt" to="467.95pt,6.55pt" stroked="t" o:allowincell="f" style="position:absolute">
              <v:stroke color="black" weight="9360" joinstyle="miter" endcap="flat"/>
              <v:fill o:detectmouseclick="t" on="false"/>
              <w10:wrap type="none"/>
            </v:line>
          </w:pict>
        </mc:Fallback>
      </mc:AlternateContent>
    </w:r>
  </w:p>
  <w:p>
    <w:pPr>
      <w:pStyle w:val="Header"/>
      <w:spacing w:before="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6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Black" w:hAnsi="Arial Black" w:cs="Arial Black"/>
      <w:spacing w:val="-10"/>
      <w:kern w:val="2"/>
    </w:rPr>
  </w:style>
  <w:style w:type="paragraph" w:styleId="Heading3">
    <w:name w:val="heading 3"/>
    <w:basedOn w:val="Normal"/>
    <w:next w:val="BodyText"/>
    <w:qFormat/>
    <w:pPr>
      <w:keepNext w:val="true"/>
      <w:keepLines/>
      <w:numPr>
        <w:ilvl w:val="2"/>
        <w:numId w:val="1"/>
      </w:numPr>
      <w:spacing w:lineRule="atLeast" w:line="180"/>
      <w:ind w:hanging="0" w:start="360" w:end="0"/>
      <w:outlineLvl w:val="2"/>
    </w:pPr>
    <w:rPr>
      <w:rFonts w:ascii="Arial Black" w:hAnsi="Arial Black" w:cs="Arial Black"/>
      <w:spacing w:val="-5"/>
      <w:kern w:val="2"/>
    </w:rPr>
  </w:style>
  <w:style w:type="paragraph" w:styleId="Heading4">
    <w:name w:val="heading 4"/>
    <w:basedOn w:val="Normal"/>
    <w:next w:val="BodyText"/>
    <w:qFormat/>
    <w:pPr>
      <w:keepNext w:val="true"/>
      <w:keepLines/>
      <w:numPr>
        <w:ilvl w:val="3"/>
        <w:numId w:val="1"/>
      </w:numPr>
      <w:spacing w:lineRule="atLeast" w:line="180"/>
      <w:ind w:hanging="0" w:start="720" w:end="0"/>
      <w:outlineLvl w:val="3"/>
    </w:pPr>
    <w:rPr>
      <w:rFonts w:ascii="Arial Black" w:hAnsi="Arial Black" w:cs="Arial Black"/>
      <w:spacing w:val="-2"/>
      <w:kern w:val="2"/>
      <w:sz w:val="18"/>
    </w:rPr>
  </w:style>
  <w:style w:type="paragraph" w:styleId="Heading5">
    <w:name w:val="heading 5"/>
    <w:basedOn w:val="Normal"/>
    <w:next w:val="BodyText"/>
    <w:qFormat/>
    <w:pPr>
      <w:keepNext w:val="true"/>
      <w:keepLines/>
      <w:numPr>
        <w:ilvl w:val="4"/>
        <w:numId w:val="1"/>
      </w:numPr>
      <w:spacing w:lineRule="atLeast" w:line="180"/>
      <w:ind w:hanging="0" w:start="1080" w:end="0"/>
      <w:outlineLvl w:val="4"/>
    </w:pPr>
    <w:rPr>
      <w:rFonts w:ascii="Arial Black" w:hAnsi="Arial Black" w:cs="Arial Black"/>
      <w:spacing w:val="-2"/>
      <w:kern w:val="2"/>
      <w:sz w:val="18"/>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rPr>
  </w:style>
  <w:style w:type="character" w:styleId="PageNumber">
    <w:name w:val="page number"/>
    <w:rPr>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lineRule="atLeast" w:line="220"/>
    </w:pPr>
    <w:rPr>
      <w:rFonts w:ascii="Arial" w:hAnsi="Arial" w:cs="Arial"/>
      <w:spacing w:val="-5"/>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DocumentLabel">
    <w:name w:val="Document Label"/>
    <w:basedOn w:val="Normal"/>
    <w:next w:val="Normal"/>
    <w:qFormat/>
    <w:pPr>
      <w:keepNext w:val="true"/>
      <w:keepLines/>
      <w:spacing w:lineRule="atLeast" w:line="240" w:before="400" w:after="120"/>
      <w:ind w:hanging="0" w:start="-840" w:end="0"/>
    </w:pPr>
    <w:rPr>
      <w:rFonts w:ascii="Arial Black" w:hAnsi="Arial Black" w:cs="Arial Black"/>
      <w:spacing w:val="-5"/>
      <w:kern w:val="2"/>
      <w:sz w:val="96"/>
    </w:rPr>
  </w:style>
  <w:style w:type="paragraph" w:styleId="Enclosure">
    <w:name w:val="Enclosure"/>
    <w:basedOn w:val="BodyText"/>
    <w:next w:val="Normal"/>
    <w:qFormat/>
    <w:pPr>
      <w:keepLines/>
      <w:spacing w:before="220" w:after="220"/>
      <w:jc w:val="start"/>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Header">
    <w:name w:val="header"/>
    <w:basedOn w:val="HeaderBase"/>
    <w:pPr>
      <w:spacing w:before="0" w:after="600"/>
    </w:pPr>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MessageHeader">
    <w:name w:val="Message Header"/>
    <w:basedOn w:val="BodyText"/>
    <w:qFormat/>
    <w:pPr>
      <w:keepLines/>
      <w:spacing w:before="0" w:after="120"/>
      <w:ind w:hanging="720" w:start="720"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NormalIndent">
    <w:name w:val="Normal Indent"/>
    <w:basedOn w:val="Normal"/>
    <w:qFormat/>
    <w:pPr>
      <w:ind w:hanging="0" w:start="720" w:end="0"/>
    </w:pPr>
    <w:rPr/>
  </w:style>
  <w:style w:type="paragraph" w:styleId="ReturnAddress">
    <w:name w:val="Return Address"/>
    <w:basedOn w:val="Normal"/>
    <w:qFormat/>
    <w:pPr>
      <w:keepLines/>
      <w:spacing w:lineRule="atLeast" w:line="200"/>
    </w:pPr>
    <w:rPr>
      <w:spacing w:val="-2"/>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Professional Memo.dot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1999-12-10T12:29:00Z</dcterms:created>
  <dc:creator>Western Gas Resources</dc:creator>
  <dc:description/>
  <dc:language>en-CA</dc:language>
  <cp:lastModifiedBy>WGR</cp:lastModifiedBy>
  <cp:lastPrinted>1999-12-09T13:39:00Z</cp:lastPrinted>
  <dcterms:modified xsi:type="dcterms:W3CDTF">1999-12-10T12:29:00Z</dcterms:modified>
  <cp:revision>2</cp:revision>
  <dc:subject/>
  <dc:title>Memo</dc:title>
</cp:coreProperties>
</file>