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40"/>
        </w:rPr>
      </w:pPr>
      <w:r>
        <w:rPr>
          <w:sz w:val="40"/>
        </w:rPr>
        <w:t>DRAFT</w:t>
      </w:r>
    </w:p>
    <w:p>
      <w:pPr>
        <w:pStyle w:val="Heading1"/>
        <w:ind w:hanging="0" w:start="0"/>
        <w:rPr>
          <w:sz w:val="40"/>
        </w:rPr>
      </w:pPr>
      <w:r>
        <w:rPr>
          <w:sz w:val="40"/>
        </w:rPr>
      </w:r>
    </w:p>
    <w:p>
      <w:pPr>
        <w:pStyle w:val="Heading1"/>
        <w:ind w:hanging="0" w:start="0"/>
        <w:rPr/>
      </w:pPr>
      <w:r>
        <w:rPr/>
      </w:r>
    </w:p>
    <w:p>
      <w:pPr>
        <w:pStyle w:val="Heading1"/>
        <w:ind w:hanging="0" w:start="0"/>
        <w:rPr/>
      </w:pPr>
      <w:r>
        <w:rPr/>
        <w:t>HOUSTON PIPE LINE COMPANY</w:t>
      </w:r>
    </w:p>
    <w:p>
      <w:pPr>
        <w:pStyle w:val="Normal"/>
        <w:rPr>
          <w:sz w:val="28"/>
        </w:rPr>
      </w:pPr>
      <w:r>
        <w:rPr>
          <w:sz w:val="28"/>
        </w:rPr>
        <w:t>ENTEX – MCF WACOG CALCULATION</w:t>
      </w:r>
    </w:p>
    <w:p>
      <w:pPr>
        <w:pStyle w:val="Normal"/>
        <w:rPr>
          <w:sz w:val="28"/>
        </w:rPr>
      </w:pPr>
      <w:r>
        <w:rPr>
          <w:sz w:val="28"/>
        </w:rPr>
        <w:t>MAY 10, 1999</w:t>
      </w:r>
    </w:p>
    <w:p>
      <w:pPr>
        <w:pStyle w:val="Normal"/>
        <w:rPr>
          <w:sz w:val="28"/>
        </w:rPr>
      </w:pPr>
      <w:r>
        <w:rPr>
          <w:sz w:val="28"/>
        </w:rPr>
      </w:r>
    </w:p>
    <w:p>
      <w:pPr>
        <w:pStyle w:val="Normal"/>
        <w:jc w:val="both"/>
        <w:rPr>
          <w:sz w:val="28"/>
        </w:rPr>
      </w:pPr>
      <w:r>
        <w:rPr>
          <w:sz w:val="28"/>
        </w:rPr>
        <w:t>With the recent systems changes, HPL no longer captures MCF’s as part of its purchase data.  In trying to meet HPL’s obligation to calculate an MCF WACOG into the future as required under the HPL/Entex gas sales contract, the following procedure will be utilized:</w:t>
      </w:r>
    </w:p>
    <w:p>
      <w:pPr>
        <w:pStyle w:val="Normal"/>
        <w:jc w:val="both"/>
        <w:rPr>
          <w:sz w:val="28"/>
        </w:rPr>
      </w:pPr>
      <w:r>
        <w:rPr>
          <w:sz w:val="28"/>
        </w:rPr>
      </w:r>
    </w:p>
    <w:p>
      <w:pPr>
        <w:pStyle w:val="BodyText"/>
        <w:rPr/>
      </w:pPr>
      <w:r>
        <w:rPr/>
        <w:t>Accounting on a monthly basis will accumulate in total all HPL purchases on both an MMBtu and dollar basis.  In order to equate to a volume of gas in MCF, the total MMBtu’s purchased will be divided by the annual Btu factor as stated in HPL’s last published Texas Railroad Commission Annual Report in order to determine the total MCF’s purchased for the same monthly period.  The total monthly purchase dollars will then be divided by the total monthly MCF’s purchased to determine a WACOG per MCF.  Such MCF WACOG will be utilized in the pricing formula for such month’s invoice from HPL to Entex.</w:t>
      </w:r>
    </w:p>
    <w:p>
      <w:pPr>
        <w:pStyle w:val="BodyText"/>
        <w:rPr/>
      </w:pPr>
      <w:r>
        <w:rPr/>
      </w:r>
    </w:p>
    <w:p>
      <w:pPr>
        <w:pStyle w:val="BodyText"/>
        <w:rPr/>
      </w:pPr>
      <w:r>
        <w:rPr/>
        <w:t>If a Btu factor is not published in an HPL Texas Railroad Commission Annual Report, accounting will immediately contact legal to determine an alternative methodology.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1999-05-10T18:34:00Z</dcterms:created>
  <dc:creator>ENRON</dc:creator>
  <dc:description/>
  <dc:language>en-CA</dc:language>
  <cp:lastModifiedBy>ENRON</cp:lastModifiedBy>
  <dcterms:modified xsi:type="dcterms:W3CDTF">1999-05-10T18:55:00Z</dcterms:modified>
  <cp:revision>1</cp:revision>
  <dc:subject/>
  <dc:title>DRAFT</dc:title>
</cp:coreProperties>
</file>