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DIRECT TESTIMONY OF CHARLES McMONAGLE</w:t>
      </w:r>
    </w:p>
    <w:p>
      <w:pPr>
        <w:pStyle w:val="Normal"/>
        <w:rPr>
          <w:b/>
        </w:rPr>
      </w:pPr>
      <w:r>
        <w:rPr>
          <w:b/>
        </w:rPr>
      </w:r>
    </w:p>
    <w:p>
      <w:pPr>
        <w:pStyle w:val="BodyTextIndent2"/>
        <w:rPr/>
      </w:pPr>
      <w:r>
        <w:rPr/>
        <w:t>I am Vice President and Treasurer of Sempra Energy, parent company of San Diego Gas &amp; Electric Company (SDG&amp;E).  In this capacity, among other things, I am responsible for managing SDG&amp;E’s cash and borrowings to finance its utility operations.  As part of my responsibilities, I regularly review SDG&amp;E’s cash flow forecast and I work with commercial banks, money managers and investment bankers on an ongoing basis to establish SDG&amp;E’s bank lines, to place SDG&amp;E debt, and to keep apprised of current money market conditions.  I also support SDG&amp;E on counterparty credit issues associated with its power contracts, and I have dealt with a number of its counterparties in this capacity.</w:t>
      </w:r>
    </w:p>
    <w:p>
      <w:pPr>
        <w:pStyle w:val="Normal"/>
        <w:spacing w:lineRule="auto" w:line="480"/>
        <w:ind w:firstLine="720" w:end="0"/>
        <w:rPr/>
      </w:pPr>
      <w:r>
        <w:rPr/>
        <w:t xml:space="preserve">The purpose of my testimony is to describe SDG&amp;E’s ability to finance the undercollection of energy procurement costs, both now and in the future, and its ability to procure energy on commercially reasonable credit terms.  </w:t>
      </w:r>
    </w:p>
    <w:p>
      <w:pPr>
        <w:pStyle w:val="Normal"/>
        <w:spacing w:lineRule="auto" w:line="480"/>
        <w:ind w:firstLine="720" w:end="0"/>
        <w:rPr/>
      </w:pPr>
      <w:r>
        <w:rPr/>
        <w:t>As the Commission well knows, wholesale electric prices continue to be much higher than in any prior year.  SDG&amp;E’s customers are shielded from paying these high prices on a current basis because of the AB 265 rate ceiling.  But, as detailed in the testimony of William L. Reed, the undercollection due to the rate ceiling is growing far beyond what anyone expected when AB 265 was enacted.  SDG&amp;E now forecasts the undercollection will grow to over $1 billion during 2001.</w:t>
      </w:r>
    </w:p>
    <w:p>
      <w:pPr>
        <w:pStyle w:val="FootnoteText"/>
        <w:spacing w:lineRule="auto" w:line="480"/>
        <w:ind w:firstLine="720" w:end="0"/>
        <w:rPr/>
      </w:pPr>
      <w:r>
        <w:rPr>
          <w:sz w:val="24"/>
        </w:rPr>
        <w:t>It is implicit in AB 265’s rate ceiling that SDG&amp;E will finance the difference between actual wholesale energy costs and the ceiling price – either with cash on hand or by borrowing.</w:t>
      </w:r>
      <w:r>
        <w:rPr>
          <w:rStyle w:val="FootnoteCharacters"/>
          <w:rStyle w:val="FootnoteReference"/>
          <w:sz w:val="24"/>
        </w:rPr>
        <w:footnoteReference w:id="2"/>
      </w:r>
      <w:r>
        <w:rPr>
          <w:sz w:val="24"/>
        </w:rPr>
        <w:t xml:space="preserve">  At the time AB 265 was enacted, it appeared that SDG&amp;E would be able to access the capital markets to borrow the necessary funds. As of December 31, 2000, even with undercollections exceeding $400 million,</w:t>
      </w:r>
      <w:r>
        <w:rPr>
          <w:rStyle w:val="FootnoteCharacters"/>
          <w:rStyle w:val="FootnoteReference"/>
          <w:sz w:val="24"/>
        </w:rPr>
        <w:footnoteReference w:id="3"/>
      </w:r>
      <w:r>
        <w:rPr>
          <w:sz w:val="24"/>
        </w:rPr>
        <w:t xml:space="preserve"> SDG&amp;E had not borrowed to finance the undercollections.  Since then, however, while SDG&amp;E had expected to finance a portion of the rapidly growing undercollection going forward, the escalating California energy crisis has diminished this prospect. SDG&amp;E’s access to the capital markets and its ability to obtain necessary financing on commercially reasonable terms has been significantly impaired by the financial distress being experienced by the other California investor-owned utilities, lender uncertainties concerning California utility regulation, and the continuing rapid growth of the undercollections. SDG&amp;E’s ability to sustain the growing undercollection depends upon renewing or replacing about $100 million of short-term bank credit facilities that expire during June and July of this year and obtaining substantial additional debt financing.  </w:t>
      </w:r>
    </w:p>
    <w:p>
      <w:pPr>
        <w:pStyle w:val="FootnoteText"/>
        <w:spacing w:lineRule="auto" w:line="480"/>
        <w:ind w:firstLine="720" w:end="0"/>
        <w:rPr/>
      </w:pPr>
      <w:r>
        <w:rPr>
          <w:sz w:val="24"/>
        </w:rPr>
        <w:t xml:space="preserve">Furthermore, the escalating crisis has caused concern among some of SDG&amp;E’s energy counterparties, who now require much more stringent credit standards, including up-front collateral, which hinders SDG&amp;E’s ability to acquire electricity on commercially reasonable terms. For example, </w:t>
      </w:r>
      <w:r>
        <w:rPr>
          <w:color w:val="000000"/>
          <w:sz w:val="24"/>
        </w:rPr>
        <w:t xml:space="preserve">SDG&amp;E has experienced the following credit-related energy procurement difficulties in January, 2001: Reliant required a $40 million letter of </w:t>
      </w:r>
      <w:r>
        <w:br w:type="page"/>
      </w:r>
    </w:p>
    <w:p>
      <w:pPr>
        <w:pStyle w:val="FootnoteText"/>
        <w:spacing w:lineRule="auto" w:line="480"/>
        <w:rPr/>
      </w:pPr>
      <w:r>
        <w:rPr>
          <w:color w:val="000000"/>
          <w:sz w:val="24"/>
        </w:rPr>
        <w:t xml:space="preserve">credit to sell to SDG&amp;E; Arizona Public Service refused to sell to SDG&amp;E unless SDG&amp;E prepaid; TransAlta (Canada) will no longer sell electricity to SDG&amp;E; Public Service of Colorado closed SDG&amp;E's credit line for electricity purchases; Idaho Power Company has refused to sell to SDG&amp;E because of credit concerns; Southern Energy has indicated that they will limit their sales to SDG&amp;E because of credit concerns; Pacificorp placed SDG&amp;E on credit hold and will not make further sales to SDG&amp;E; Aquila refused to sell electricity to SDG&amp;E on a next-day basis due to credit concerns; Commonwealth required SDG&amp;E to prepay half the cost of a transaction; and Constellation Power Source, Inc. requested immediate payment of $400,000, or a letter of credit.  This has all occurred despite the fact that SDG&amp;E maintains an “A” credit rating.  </w:t>
      </w:r>
      <w:r>
        <w:rPr>
          <w:sz w:val="24"/>
        </w:rPr>
        <w:t xml:space="preserve">SDG&amp;E must restore the confidence of its energy counterparties so the Company can continue to acquire gas and electricity on commercially reasonable terms without constraints caused by credit-quality concerns. </w:t>
      </w:r>
    </w:p>
    <w:p>
      <w:pPr>
        <w:pStyle w:val="FootnoteText"/>
        <w:spacing w:lineRule="auto" w:line="480"/>
        <w:ind w:firstLine="720" w:end="0"/>
        <w:rPr/>
      </w:pPr>
      <w:r>
        <w:rPr>
          <w:sz w:val="24"/>
        </w:rPr>
        <w:t>When AB 265 was signed into law in early September 2000, I was confident that SDG&amp;E could achieve its fundamental financial and contracting goals.  But, due to the dramatically changed environment in California since then, I now believe that further Commission action is required to ensure SDG&amp;E’s access to the bank and capital markets.  Of foremost importance is the Commission’s adoption of an amortization plan to demonstrate that the balancing account will be managed to a reasonable level and will be recovered by the end of 2005.</w:t>
      </w:r>
    </w:p>
    <w:p>
      <w:pPr>
        <w:pStyle w:val="FootnoteText"/>
        <w:spacing w:lineRule="auto" w:line="480"/>
        <w:ind w:firstLine="720" w:end="0"/>
        <w:rPr>
          <w:sz w:val="24"/>
        </w:rPr>
      </w:pPr>
      <w:r>
        <w:rPr>
          <w:sz w:val="24"/>
        </w:rPr>
        <w:t>What has happened since last summer to cause such a fundamental change?  The key lies in the areas that banks and investors examine when they make their investment decisions.  The three most important factors that investors review when evaluating SDG&amp;E are:</w:t>
      </w:r>
    </w:p>
    <w:p>
      <w:pPr>
        <w:pStyle w:val="FootnoteText"/>
        <w:numPr>
          <w:ilvl w:val="0"/>
          <w:numId w:val="2"/>
        </w:numPr>
        <w:spacing w:lineRule="auto" w:line="480"/>
        <w:jc w:val="both"/>
        <w:rPr>
          <w:sz w:val="24"/>
        </w:rPr>
      </w:pPr>
      <w:r>
        <w:rPr>
          <w:sz w:val="24"/>
        </w:rPr>
        <w:t>the company’s business fundamentals,</w:t>
      </w:r>
    </w:p>
    <w:p>
      <w:pPr>
        <w:pStyle w:val="FootnoteText"/>
        <w:numPr>
          <w:ilvl w:val="0"/>
          <w:numId w:val="2"/>
        </w:numPr>
        <w:spacing w:lineRule="auto" w:line="480"/>
        <w:jc w:val="both"/>
        <w:rPr>
          <w:sz w:val="24"/>
        </w:rPr>
      </w:pPr>
      <w:r>
        <w:rPr>
          <w:sz w:val="24"/>
        </w:rPr>
        <w:t>market conditions, and</w:t>
      </w:r>
    </w:p>
    <w:p>
      <w:pPr>
        <w:pStyle w:val="FootnoteText"/>
        <w:numPr>
          <w:ilvl w:val="0"/>
          <w:numId w:val="2"/>
        </w:numPr>
        <w:spacing w:lineRule="auto" w:line="480"/>
        <w:jc w:val="both"/>
        <w:rPr>
          <w:sz w:val="24"/>
        </w:rPr>
      </w:pPr>
      <w:r>
        <w:rPr>
          <w:sz w:val="24"/>
        </w:rPr>
        <w:t>regulatory policies impacting the company.</w:t>
      </w:r>
    </w:p>
    <w:p>
      <w:pPr>
        <w:pStyle w:val="FootnoteText"/>
        <w:spacing w:lineRule="auto" w:line="480"/>
        <w:ind w:firstLine="720" w:end="0"/>
        <w:rPr/>
      </w:pPr>
      <w:r>
        <w:rPr>
          <w:sz w:val="24"/>
        </w:rPr>
        <w:t xml:space="preserve">In my discussions with the financial community, all have recognized SDG&amp;E’s stature as a top energy distributor.  SDG&amp;E consistently meets and exceeds operational goals, and it often advances new business structures, such as Performance Based Ratemaking.  SDG&amp;E’s business fundamentals remain strong.   </w:t>
      </w:r>
    </w:p>
    <w:p>
      <w:pPr>
        <w:pStyle w:val="FootnoteText"/>
        <w:spacing w:lineRule="auto" w:line="480"/>
        <w:ind w:firstLine="720" w:end="0"/>
        <w:rPr/>
      </w:pPr>
      <w:r>
        <w:rPr>
          <w:sz w:val="24"/>
        </w:rPr>
        <w:t>In contrast to SDG&amp;E’s strong operational fundamentals, the wholesale energy markets in California are broken, and investor confidence in California regulation is at an all-time low.  Fair or not, SDG&amp;E is caught in an environment where many investors have said, “cut off California utilities.”   This can be seen in recent bond yields for the California utilities compared to national averages as shown in the following table:</w:t>
      </w:r>
    </w:p>
    <w:p>
      <w:pPr>
        <w:pStyle w:val="FootnoteText"/>
        <w:spacing w:lineRule="auto" w:line="360"/>
        <w:ind w:firstLine="720" w:start="720" w:end="0"/>
        <w:jc w:val="both"/>
        <w:rPr>
          <w:sz w:val="24"/>
        </w:rPr>
      </w:pPr>
      <w:r>
        <w:rPr>
          <w:sz w:val="24"/>
        </w:rPr>
        <w:t>10-year bond yields as a spread over 10-year US Treasury bonds</w:t>
      </w:r>
      <w:r>
        <w:rPr>
          <w:rStyle w:val="FootnoteCharacters"/>
          <w:rStyle w:val="FootnoteReference"/>
          <w:sz w:val="24"/>
        </w:rPr>
        <w:footnoteReference w:id="4"/>
      </w:r>
    </w:p>
    <w:p>
      <w:pPr>
        <w:pStyle w:val="FootnoteText"/>
        <w:spacing w:lineRule="auto" w:line="360"/>
        <w:ind w:firstLine="720" w:start="720" w:end="0"/>
        <w:jc w:val="both"/>
        <w:rPr>
          <w:sz w:val="24"/>
        </w:rPr>
      </w:pPr>
      <w:r>
        <w:rPr>
          <w:sz w:val="24"/>
        </w:rPr>
        <w:tab/>
        <w:t>non-California, A-rated utility</w:t>
        <w:tab/>
        <w:t xml:space="preserve">  1.50%</w:t>
      </w:r>
    </w:p>
    <w:p>
      <w:pPr>
        <w:pStyle w:val="FootnoteText"/>
        <w:spacing w:lineRule="auto" w:line="360"/>
        <w:ind w:firstLine="720" w:start="720" w:end="0"/>
        <w:jc w:val="both"/>
        <w:rPr/>
      </w:pPr>
      <w:r>
        <w:rPr>
          <w:sz w:val="24"/>
        </w:rPr>
        <w:tab/>
        <w:t>Sempra Energy</w:t>
      </w:r>
      <w:r>
        <w:rPr>
          <w:rStyle w:val="FootnoteCharacters"/>
          <w:rStyle w:val="FootnoteReference"/>
          <w:sz w:val="24"/>
        </w:rPr>
        <w:footnoteReference w:id="5"/>
      </w:r>
      <w:r>
        <w:rPr>
          <w:sz w:val="24"/>
        </w:rPr>
        <w:tab/>
        <w:tab/>
        <w:tab/>
        <w:t xml:space="preserve">  2.80% to 3.50%</w:t>
      </w:r>
    </w:p>
    <w:p>
      <w:pPr>
        <w:pStyle w:val="FootnoteText"/>
        <w:spacing w:lineRule="auto" w:line="360"/>
        <w:ind w:firstLine="720" w:start="720" w:end="0"/>
        <w:jc w:val="both"/>
        <w:rPr/>
      </w:pPr>
      <w:r>
        <w:rPr>
          <w:sz w:val="24"/>
        </w:rPr>
        <w:tab/>
        <w:t>Edison</w:t>
        <w:tab/>
      </w:r>
      <w:r>
        <w:rPr>
          <w:rStyle w:val="FootnoteCharacters"/>
          <w:rStyle w:val="FootnoteReference"/>
          <w:sz w:val="24"/>
        </w:rPr>
        <w:footnoteReference w:id="6"/>
      </w:r>
      <w:r>
        <w:rPr>
          <w:sz w:val="24"/>
        </w:rPr>
        <w:tab/>
        <w:tab/>
        <w:tab/>
        <w:tab/>
        <w:t>15.00%</w:t>
      </w:r>
    </w:p>
    <w:p>
      <w:pPr>
        <w:pStyle w:val="FootnoteText"/>
        <w:spacing w:lineRule="auto" w:line="480"/>
        <w:ind w:firstLine="720" w:start="720" w:end="0"/>
        <w:jc w:val="both"/>
        <w:rPr>
          <w:sz w:val="24"/>
        </w:rPr>
      </w:pPr>
      <w:r>
        <w:rPr>
          <w:sz w:val="24"/>
        </w:rPr>
        <w:tab/>
        <w:t>PG&amp;E</w:t>
        <w:tab/>
        <w:tab/>
        <w:tab/>
        <w:tab/>
        <w:tab/>
        <w:t>15.00%</w:t>
      </w:r>
    </w:p>
    <w:p>
      <w:pPr>
        <w:pStyle w:val="FootnoteText"/>
        <w:spacing w:lineRule="auto" w:line="480"/>
        <w:rPr>
          <w:sz w:val="24"/>
        </w:rPr>
      </w:pPr>
      <w:r>
        <w:rPr>
          <w:sz w:val="24"/>
        </w:rPr>
        <w:t xml:space="preserve">Even though Sempra Energy’s bonds were priced in line with national utility averages as recently as early December 2000, its bonds now trade at spreads approximately twice that </w:t>
      </w:r>
      <w:r>
        <w:br w:type="page"/>
      </w:r>
    </w:p>
    <w:p>
      <w:pPr>
        <w:pStyle w:val="FootnoteText"/>
        <w:spacing w:lineRule="auto" w:line="480"/>
        <w:rPr/>
      </w:pPr>
      <w:r>
        <w:rPr>
          <w:sz w:val="24"/>
        </w:rPr>
        <w:t xml:space="preserve">of non-California utilities.  These higher interest rates will add significant costs to the company and its customers. Edison’s and PG&amp;E’s bonds are trading at discounts reflecting their near-bankrupt status.  </w:t>
      </w:r>
    </w:p>
    <w:p>
      <w:pPr>
        <w:pStyle w:val="FootnoteText"/>
        <w:spacing w:lineRule="auto" w:line="480"/>
        <w:ind w:firstLine="720" w:end="0"/>
        <w:rPr/>
      </w:pPr>
      <w:r>
        <w:rPr>
          <w:sz w:val="24"/>
        </w:rPr>
        <w:t xml:space="preserve">Since we encountered sharply higher energy prices last summer, the three major credit rating agencies, Standard &amp; Poor’s, Moody’s Investor Services and Fitch, have issued cautionary statements about the financial outlook for SDG&amp;E because of the rate ceiling, the potential for increased leverage to finance the undercollection, and the lack of a plan for amortization of the undercollection.  </w:t>
      </w:r>
      <w:r>
        <w:rPr>
          <w:i/>
          <w:sz w:val="24"/>
        </w:rPr>
        <w:t>See</w:t>
      </w:r>
      <w:r>
        <w:rPr>
          <w:sz w:val="24"/>
        </w:rPr>
        <w:t xml:space="preserve"> A.00-10-045, pp. 4-5.  All three also changed their rating outlook for SDG&amp;E from stable to negative after the passage of AB 265, and none of these agencies has upgraded their assessment of SDG&amp;E since that time.</w:t>
      </w:r>
    </w:p>
    <w:p>
      <w:pPr>
        <w:pStyle w:val="FootnoteText"/>
        <w:spacing w:lineRule="auto" w:line="480"/>
        <w:ind w:firstLine="720" w:end="0"/>
        <w:rPr/>
      </w:pPr>
      <w:r>
        <w:rPr>
          <w:sz w:val="24"/>
        </w:rPr>
        <w:t xml:space="preserve">As the financial crisis of the other major California electric utilities has deepened, SDG&amp;E has experienced a “spill-over” effect.  On December 28, 2000, Reuters reported that a California money market fund manager with American Century Investments in Mountain View, California, “noted that while Edison and PG&amp;E are having the most trouble in the debt markets, </w:t>
      </w:r>
      <w:r>
        <w:rPr>
          <w:i/>
          <w:sz w:val="24"/>
        </w:rPr>
        <w:t>investors are shying away from San Diego Gas &amp; Electric’s notes as well,</w:t>
      </w:r>
      <w:r>
        <w:rPr>
          <w:sz w:val="24"/>
        </w:rPr>
        <w:t xml:space="preserve"> because market participants consider them, </w:t>
      </w:r>
      <w:r>
        <w:rPr>
          <w:i/>
          <w:sz w:val="24"/>
        </w:rPr>
        <w:t>‘guilty by association.’</w:t>
      </w:r>
      <w:r>
        <w:rPr>
          <w:sz w:val="24"/>
        </w:rPr>
        <w:t xml:space="preserve">”  From the investor’s perspective, this view makes sense.  Why should a money manager place money with a company with a “cloud over its head” when there are ample opportunities to earn comparable returns from the commercial paper of companies without the “cloud”?  </w:t>
      </w:r>
    </w:p>
    <w:p>
      <w:pPr>
        <w:pStyle w:val="FootnoteText"/>
        <w:spacing w:lineRule="auto" w:line="480"/>
        <w:ind w:firstLine="720" w:end="0"/>
        <w:rPr/>
      </w:pPr>
      <w:r>
        <w:rPr>
          <w:sz w:val="24"/>
        </w:rPr>
        <w:t xml:space="preserve">An investor’s decision to extend credit or lend money to SDG&amp;E is not based on credit ratings alone.  That decision is ultimately based on the investment manager’s sense of trust and confidence in the company and in the regulatory policies and principles applied in establishing rates.  While in the past investors have been comfortable with the regulatory policy and process in California, I have talked to several investors who today have lost confidence in a process that they once trusted.  They have told me that they have seen the Commission say one thing and later act inconsistently.  For example, the Commission’s December 21, 2000 interim decision (D.00-12-067) contained several statements that comforted many in the financial community who were concerned with the credit quality at Edison and PG&amp;E.  The credit rating agencies cited statements such as “the Commission intends to take action to avoid conditions that may jeopardize the utilities’ creditworthiness” and it is the Commission’s “intent to maintain the utilities’ access to capital on reasonable terms.”  However, the Commission’s action on January 4, 2001 (D.01-01-018), did little to reassure the credit rating agencies.  In fact, Fitch, Moody’s and S&amp;P each reacted immediately to downgrade Edison and PG&amp;E following the Commission’s January 4, 2000 decision.  Their ratings have fallen further since that time such that each of these credit rating agencies now rank Edison and PG&amp;E in a deep speculative category.  </w:t>
      </w:r>
    </w:p>
    <w:p>
      <w:pPr>
        <w:pStyle w:val="FootnoteText"/>
        <w:spacing w:lineRule="auto" w:line="480"/>
        <w:ind w:firstLine="720" w:end="0"/>
        <w:rPr/>
      </w:pPr>
      <w:r>
        <w:rPr>
          <w:sz w:val="24"/>
        </w:rPr>
        <w:t xml:space="preserve">From the financial community’s perspective, the Commission’s actions on January 4, 2000 did not match its statements on December 21, 2000.  This inconsistency reduces the financial community’s trust in California’s regulatory process, and it produces a direct adverse impact on SDG&amp;E because banks and investors are concerned about inaction by the Commission in SDG&amp;E’s situation.  </w:t>
      </w:r>
    </w:p>
    <w:p>
      <w:pPr>
        <w:pStyle w:val="FootnoteText"/>
        <w:spacing w:lineRule="auto" w:line="480"/>
        <w:ind w:firstLine="720" w:end="0"/>
        <w:rPr/>
      </w:pPr>
      <w:r>
        <w:rPr>
          <w:sz w:val="24"/>
        </w:rPr>
        <w:t>There is a very fine, but fundamental, line between a financially strong company that can access the capital markets and a financially strong company that is unable to attract capital at reasonable rates.  This “guilt by association” is a clear indication of how fragile the situation has become in California.  It demonstrates that SDG&amp;E needs additional regulatory support to assure its access to the bank and capital markets.  In my opinion, this additional regulatory support should come in the form of increased cash flow to offset a growing undercollection and a plan that will amortize the entire undercollection in a reasonable time without causing rate shock to SDG&amp;E’s customers.</w:t>
      </w:r>
    </w:p>
    <w:p>
      <w:pPr>
        <w:pStyle w:val="FootnoteText"/>
        <w:spacing w:lineRule="auto" w:line="480"/>
        <w:ind w:firstLine="720" w:end="0"/>
        <w:rPr/>
      </w:pPr>
      <w:r>
        <w:rPr>
          <w:sz w:val="24"/>
        </w:rPr>
        <w:t xml:space="preserve">Growth of the balancing account, uncertainty concerning California regulation, and Edison’s and PG&amp;E’s financial distress have collectively impaired SDG&amp;E’s ability to finance the Company on commercially reasonable terms.  In the current environment, action by the Commission is needed to reassure banks, the capital markets and our energy counterparties.  SDG&amp;E’s recommended surcharge is intended to assure our access to the capital markets by demonstrating that the undercollections will be managed to a reasonable level and that they will be recovered over a reasonable period of time. </w:t>
      </w:r>
    </w:p>
    <w:p>
      <w:pPr>
        <w:pStyle w:val="FootnoteText"/>
        <w:spacing w:lineRule="auto" w:line="480"/>
        <w:ind w:firstLine="720" w:end="0"/>
        <w:rPr/>
      </w:pPr>
      <w:r>
        <w:rPr>
          <w:sz w:val="24"/>
        </w:rPr>
        <w:t>Even if Edison’s and PG&amp;E’s problems were to go away, the rating agencies have lowered SDG&amp;E’s outlook to negative because the AB 265 surcharge is being allowed to grow with no plan to manage or amortize it.  For SDG&amp;E to maintain its ability to function effectively in the energy markets, to ensure that it will be able to borrow the money necessary to support its energy procurement requirements, both ongoing and still uncollected, and to reassure the financial community that SDG&amp;E will recover the balancing account undercollection in a timely and non-disruptive manner, as provided by AB 265, the Commission must act expeditiously.  SDG&amp;E can then carry out the State’s policy of funding the undercollection during a transitional period.</w:t>
      </w:r>
    </w:p>
    <w:sectPr>
      <w:footerReference w:type="default" r:id="rId2"/>
      <w:footnotePr>
        <w:numFmt w:val="decimal"/>
      </w:footnotePr>
      <w:type w:val="nextPage"/>
      <w:pgSz w:w="12240" w:h="15840"/>
      <w:pgMar w:left="1800" w:right="1800" w:gutter="0" w:header="0" w:top="1440" w:footer="720"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CM-</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spacing w:lineRule="exact" w:line="200"/>
      <w:rPr/>
    </w:pP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240"/>
        <w:rPr/>
      </w:pPr>
      <w:r>
        <w:rPr>
          <w:rStyle w:val="FootnoteCharacters"/>
        </w:rPr>
        <w:footnoteRef/>
      </w:r>
      <w:r>
        <w:rPr>
          <w:sz w:val="20"/>
        </w:rPr>
        <w:t xml:space="preserve"> </w:t>
      </w:r>
      <w:r>
        <w:rPr>
          <w:sz w:val="20"/>
        </w:rPr>
        <w:t xml:space="preserve">SDG&amp;E currently has pending before the Commission an application (A.00-11-025) to increase its working-capital borrowing authority from about $200 million to $800 million.  Since no one protested this application, on December 27, 2000, SDG&amp;E filed a motion to waive comments on a proposed decision in order to allow the Commission to approve the application at its January 18, 2001 meeting.  However, at that meeting the Commission failed to act on the application and consideration of it was extended </w:t>
      </w:r>
      <w:r>
        <w:rPr>
          <w:sz w:val="20"/>
          <w:lang w:eastAsia="en-US"/>
        </w:rPr>
        <w:t>to a "continuation" meeting of the Commission’s agenda, set for Friday, January 26, 2001.</w:t>
      </w:r>
    </w:p>
    <w:p>
      <w:pPr>
        <w:pStyle w:val="FootnoteText"/>
        <w:keepLines/>
        <w:spacing w:before="0" w:after="120"/>
        <w:jc w:val="both"/>
        <w:rPr>
          <w:rFonts w:ascii="Garamond" w:hAnsi="Garamond" w:eastAsia="Garamond" w:cs="Garamond"/>
          <w:sz w:val="22"/>
        </w:rPr>
      </w:pPr>
      <w:r>
        <w:rPr>
          <w:rFonts w:eastAsia="Garamond" w:cs="Garamond" w:ascii="Garamond" w:hAnsi="Garamond"/>
          <w:sz w:val="22"/>
        </w:rPr>
        <w:t xml:space="preserve"> </w:t>
      </w:r>
    </w:p>
  </w:footnote>
  <w:footnote w:id="3">
    <w:p>
      <w:pPr>
        <w:pStyle w:val="FootnoteText"/>
        <w:spacing w:before="0" w:after="120"/>
        <w:rPr/>
      </w:pPr>
      <w:r>
        <w:rPr>
          <w:rStyle w:val="FootnoteCharacters"/>
        </w:rPr>
        <w:footnoteRef/>
      </w:r>
      <w:r>
        <w:rPr/>
        <w:t xml:space="preserve"> </w:t>
      </w:r>
      <w:r>
        <w:rPr/>
        <w:t>In addition to a net undercollection of $307.5 million associated with the rate ceiling, SDG&amp;E had a $139.8 million undercollection in the Purchased Energy Commodity Account (PECA).</w:t>
      </w:r>
    </w:p>
  </w:footnote>
  <w:footnote w:id="4">
    <w:p>
      <w:pPr>
        <w:pStyle w:val="FootnoteText"/>
        <w:spacing w:before="0" w:after="120"/>
        <w:rPr/>
      </w:pPr>
      <w:r>
        <w:rPr>
          <w:rStyle w:val="FootnoteCharacters"/>
        </w:rPr>
        <w:footnoteRef/>
      </w:r>
      <w:r>
        <w:rPr/>
        <w:t xml:space="preserve"> </w:t>
      </w:r>
      <w:r>
        <w:rPr/>
        <w:t>Goldman Sachs estimates.</w:t>
      </w:r>
    </w:p>
  </w:footnote>
  <w:footnote w:id="5">
    <w:p>
      <w:pPr>
        <w:pStyle w:val="FootnoteText"/>
        <w:spacing w:before="0" w:after="120"/>
        <w:rPr/>
      </w:pPr>
      <w:r>
        <w:rPr>
          <w:rStyle w:val="FootnoteCharacters"/>
        </w:rPr>
        <w:footnoteRef/>
      </w:r>
      <w:r>
        <w:rPr/>
        <w:t xml:space="preserve"> </w:t>
      </w:r>
      <w:r>
        <w:rPr/>
        <w:t>Spreads for Sempra Energy bonds were used since SDG&amp;E bonds trade very infrequently.</w:t>
      </w:r>
    </w:p>
  </w:footnote>
  <w:footnote w:id="6">
    <w:p>
      <w:pPr>
        <w:pStyle w:val="FootnoteText"/>
        <w:rPr/>
      </w:pPr>
      <w:r>
        <w:rPr>
          <w:rStyle w:val="FootnoteCharacters"/>
        </w:rPr>
        <w:footnoteRef/>
      </w:r>
      <w:r>
        <w:rPr/>
        <w:t xml:space="preserve"> </w:t>
      </w:r>
      <w:r>
        <w:rPr/>
        <w:t>Spreads for Edison and PG&amp;E bonds are estimates.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iTrailerType" w:val="0"/>
    <w:docVar w:name="OMPTrailerStyle" w:val="001100"/>
    <w:docVar w:name="zzmpFixedDOC_ID" w:val="DOCSSF1:50253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lineRule="auto" w:line="240"/>
      <w:jc w:val="center"/>
      <w:outlineLvl w:val="1"/>
    </w:pPr>
    <w:rPr>
      <w:i/>
      <w:iCs/>
      <w:szCs w:val="24"/>
    </w:rPr>
  </w:style>
  <w:style w:type="paragraph" w:styleId="Heading3">
    <w:name w:val="heading 3"/>
    <w:basedOn w:val="Normal"/>
    <w:next w:val="Normal"/>
    <w:qFormat/>
    <w:pPr>
      <w:keepNext w:val="true"/>
      <w:numPr>
        <w:ilvl w:val="2"/>
        <w:numId w:val="1"/>
      </w:numPr>
      <w:spacing w:lineRule="auto" w:line="240"/>
      <w:ind w:hanging="0" w:start="720" w:end="0"/>
      <w:outlineLvl w:val="2"/>
    </w:pPr>
    <w:rPr>
      <w:b/>
      <w:b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auto" w:line="240"/>
    </w:pPr>
    <w:rPr>
      <w:sz w:val="20"/>
    </w:rPr>
  </w:style>
  <w:style w:type="paragraph" w:styleId="BodyTextIndent2">
    <w:name w:val="Body Text Indent 2"/>
    <w:basedOn w:val="Normal"/>
    <w:qFormat/>
    <w:pPr>
      <w:spacing w:lineRule="auto" w:line="48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2001-01-24T21:48:00Z</dcterms:created>
  <dc:creator>Keith W. Melville</dc:creator>
  <dc:description/>
  <dc:language>en-CA</dc:language>
  <cp:lastModifiedBy>SEMPRA</cp:lastModifiedBy>
  <cp:lastPrinted>2001-01-24T09:09:00Z</cp:lastPrinted>
  <dcterms:modified xsi:type="dcterms:W3CDTF">2001-01-24T21:48:00Z</dcterms:modified>
  <cp:revision>2</cp:revision>
  <dc:subject/>
  <dc:title>DRAFT ALTERNATIVE TESTIMONY REGARDING PROCUREMENT POLICY</dc:title>
</cp:coreProperties>
</file>