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540" w:leader="none"/>
        </w:tabs>
        <w:jc w:val="start"/>
        <w:rPr/>
      </w:pPr>
      <w:r>
        <w:rPr>
          <w:rFonts w:cs="News Gothic MT" w:ascii="News Gothic MT" w:hAnsi="News Gothic MT"/>
          <w:spacing w:val="-14"/>
          <w:sz w:val="28"/>
        </w:rPr>
        <w:t xml:space="preserve">McGrath </w:t>
      </w:r>
      <w:r>
        <w:rPr>
          <w:rFonts w:cs="News Gothic MT" w:ascii="News Gothic MT" w:hAnsi="News Gothic MT"/>
          <w:spacing w:val="-14"/>
          <w:sz w:val="26"/>
        </w:rPr>
        <w:t>&amp;</w:t>
      </w:r>
      <w:r>
        <w:rPr>
          <w:rFonts w:cs="News Gothic MT" w:ascii="News Gothic MT" w:hAnsi="News Gothic MT"/>
          <w:spacing w:val="-14"/>
          <w:sz w:val="28"/>
        </w:rPr>
        <w:t xml:space="preserve"> Company</w:t>
      </w:r>
    </w:p>
    <w:p>
      <w:pPr>
        <w:pStyle w:val="Normal"/>
        <w:rPr>
          <w:rFonts w:ascii="Franklin Gothic Book" w:hAnsi="Franklin Gothic Book" w:cs="Franklin Gothic Book"/>
          <w:color w:val="000000"/>
          <w:sz w:val="12"/>
        </w:rPr>
      </w:pPr>
      <w:r>
        <w:rPr>
          <w:rFonts w:eastAsia="Franklin Gothic Book" w:cs="Franklin Gothic Book" w:ascii="Franklin Gothic Book" w:hAnsi="Franklin Gothic Book"/>
          <w:sz w:val="12"/>
        </w:rPr>
        <w:t xml:space="preserve">               </w:t>
      </w:r>
      <w:r>
        <w:rPr>
          <w:rFonts w:cs="Franklin Gothic Book" w:ascii="Franklin Gothic Book" w:hAnsi="Franklin Gothic Book"/>
          <w:sz w:val="12"/>
        </w:rPr>
        <w:t>PRIVATE INVESTMENT BANKING</w:t>
      </w:r>
    </w:p>
    <w:p>
      <w:pPr>
        <w:pStyle w:val="Normal"/>
        <w:tabs>
          <w:tab w:val="clear" w:pos="720"/>
          <w:tab w:val="left" w:pos="1620" w:leader="none"/>
        </w:tabs>
        <w:spacing w:lineRule="auto" w:line="480"/>
        <w:jc w:val="center"/>
        <w:rPr>
          <w:rFonts w:ascii="Century Schoolbook" w:hAnsi="Century Schoolbook" w:cs="Century Schoolbook"/>
          <w:b/>
          <w:i/>
          <w:i/>
          <w:color w:val="000000"/>
          <w:sz w:val="24"/>
          <w:u w:val="single"/>
        </w:rPr>
      </w:pPr>
      <w:r>
        <w:rPr>
          <w:rFonts w:cs="Century Schoolbook" w:ascii="Century Schoolbook" w:hAnsi="Century Schoolbook"/>
          <w:b/>
          <w:i/>
          <w:color w:val="000000"/>
          <w:sz w:val="24"/>
          <w:u w:val="single"/>
        </w:rPr>
      </w:r>
    </w:p>
    <w:p>
      <w:pPr>
        <w:pStyle w:val="Normal"/>
        <w:tabs>
          <w:tab w:val="clear" w:pos="720"/>
          <w:tab w:val="left" w:pos="1620" w:leader="none"/>
        </w:tabs>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t>Report of F. Gerard McGrath</w:t>
      </w:r>
    </w:p>
    <w:p>
      <w:pPr>
        <w:pStyle w:val="Normal"/>
        <w:spacing w:lineRule="auto" w:line="480"/>
        <w:rPr/>
      </w:pPr>
      <w:r>
        <w:rPr>
          <w:rFonts w:cs="Century Schoolbook" w:ascii="Century Schoolbook" w:hAnsi="Century Schoolbook"/>
          <w:sz w:val="24"/>
        </w:rPr>
        <w:tab/>
        <w:t xml:space="preserve">I have been requested by Alschuler Grossman Stein &amp; Kahan, LLC, on behalf of defendant ECT Securities Limited Partnership to prepare a report opining on the reasonableness of the due diligence performed by its predecessor, ECT Securities Corp. (and its affiliates, as described below), in connection with the $452,500,000 Mortgage Notes and Units offering in March 1998 (the "NSM Offering") by NSM Steel (Delaware, Inc.) and NSM Steel Co., Ltd., both subsidiaries of Nakornthai Strip Mill Public Company, Ltd., ("NSM") as presented in the actions </w:t>
      </w:r>
      <w:r>
        <w:rPr>
          <w:rFonts w:cs="Century Schoolbook" w:ascii="Century Schoolbook" w:hAnsi="Century Schoolbook"/>
          <w:sz w:val="24"/>
          <w:u w:val="single"/>
        </w:rPr>
        <w:t xml:space="preserve">Farallon Capital Partners, L.P., et al. v. Gleacher &amp; Co., Inc., </w:t>
      </w:r>
      <w:r>
        <w:rPr>
          <w:rFonts w:cs="Century Schoolbook" w:ascii="Century Schoolbook" w:hAnsi="Century Schoolbook"/>
          <w:i/>
          <w:sz w:val="24"/>
          <w:u w:val="single"/>
        </w:rPr>
        <w:t>et al.</w:t>
      </w:r>
      <w:r>
        <w:rPr>
          <w:rFonts w:cs="Century Schoolbook" w:ascii="Century Schoolbook" w:hAnsi="Century Schoolbook"/>
          <w:sz w:val="24"/>
        </w:rPr>
        <w:t xml:space="preserve">  and </w:t>
      </w:r>
      <w:r>
        <w:rPr>
          <w:rFonts w:cs="Century Schoolbook" w:ascii="Century Schoolbook" w:hAnsi="Century Schoolbook"/>
          <w:sz w:val="24"/>
          <w:u w:val="single"/>
        </w:rPr>
        <w:t xml:space="preserve">Legg Mason High Yield Portfolio v. Gleacher &amp; Co., Inc., </w:t>
      </w:r>
      <w:r>
        <w:rPr>
          <w:rFonts w:cs="Century Schoolbook" w:ascii="Century Schoolbook" w:hAnsi="Century Schoolbook"/>
          <w:i/>
          <w:sz w:val="24"/>
          <w:u w:val="single"/>
        </w:rPr>
        <w:t>et al.</w:t>
      </w:r>
      <w:r>
        <w:rPr>
          <w:rFonts w:cs="Century Schoolbook" w:ascii="Century Schoolbook" w:hAnsi="Century Schoolbook"/>
          <w:sz w:val="24"/>
        </w:rPr>
        <w:t xml:space="preserve"> (the "California NSM Litigation").</w:t>
      </w:r>
      <w:r>
        <w:rPr>
          <w:rFonts w:cs="Century Schoolbook" w:ascii="Century Schoolbook" w:hAnsi="Century Schoolbook"/>
          <w:sz w:val="24"/>
          <w:u w:val="single"/>
        </w:rPr>
        <w:t xml:space="preserve">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ECT Securities Limited Partnership (previously, ECT Securities Corp.) is a wholly-owned, registered broker/dealer subsidiary of Enron Corporation.  The due diligence relating to this offering was carried out principally by personnel in another subsidiary, Enron Capital and Trade, as well as, to a lesser extent, by personnel in several other subsidiaries or departments of Enron Corporation, all of whom were acting on behalf of, and in conjunction with, ECT Securities Corp. (collectively, "ECT").</w:t>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1440"/>
          <w:pgNumType w:fmt="decimal"/>
          <w:formProt w:val="false"/>
          <w:titlePg/>
          <w:textDirection w:val="lrTb"/>
          <w:docGrid w:type="default" w:linePitch="360" w:charSpace="0"/>
        </w:sect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As part of this engagement, and as more fully described below, I have spoken with several members of the ECT staff who were principally involved in performing or reviewing ECT's due diligence, and have reviewed ECT's files as well as additional documents and materials available in the public record pertaining to this transaction.</w:t>
      </w:r>
    </w:p>
    <w:p>
      <w:pPr>
        <w:pStyle w:val="Normal"/>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t>Background, Qualifications, and Compensation</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I am the sole proprietor of McGrath &amp; Company (Suite 600, 27 Pine Street, New Canaan, CT 06820) a private investment banking firm established in 1992 which specializes in mergers, acquisitions and joint venture transactions.  I received an A.B. Degree with Honors from the University of Notre Dame in 1961, and, following a two-year tour as a First Lieutenant in the U.S. Army, received an M.B.A. Degree with Distinction from Harvard Business School in 1965, where I also was designated a Baker Scholar.</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Prior to establishing McGrath &amp; Company, I worked as an investment banker with four major Wall Street firms for twenty-five years.  Over the course of my career, I have obtained wide-ranging financing and acquisition experience gained from personal negotiation and execution of well over 150 merger, public offering or private placement transactions.  In addition, I have managed large investment banking staffs at two firms, Prudential Securities and Dean Witter Reynolds, and chaired the senior-level commitment committee responsible for approving all investment banking transactions at both firms.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 xml:space="preserve">In particular, from 1987 to 1991, I was a Managing Director at Prudential Securities, Co-Chairman of its Investment Banking Committee, and Co-Head of the 150-person Corporate Finance Department, which included the Private Placement, High Yield, Financial Restructuring and Reorganization, Leasing, Financial Advisory and Public Offering Groups.  Prior to Prudential Securities, I was </w:t>
      </w:r>
    </w:p>
    <w:p>
      <w:pPr>
        <w:pStyle w:val="Normal"/>
        <w:spacing w:lineRule="auto" w:line="480"/>
        <w:jc w:val="center"/>
        <w:rPr>
          <w:rFonts w:ascii="Century Schoolbook" w:hAnsi="Century Schoolbook" w:cs="Century Schoolbook"/>
          <w:sz w:val="24"/>
        </w:rPr>
      </w:pPr>
      <w:r>
        <w:rPr>
          <w:rFonts w:cs="Century Schoolbook" w:ascii="Century Schoolbook" w:hAnsi="Century Schoolbook"/>
          <w:sz w:val="24"/>
        </w:rPr>
        <w:t>2</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employed at Dean Witter Reynolds (now, Morgan Stanley Dean Witter) from 1975 to 1987.  I held the position of Executive Vice President and a Member of the Board of Directors at Dean Witter Reynolds.  For most of this period, I served as a senior investment banker, where I personally solicited, structured and executed scores of  public offerings, private financings, M &amp; A transactions, and financial advisory assignments for several large and numerous mid-sized industrial companies.  I also chaired the firm's Commitment Committee and, for a period of three years, was responsible for managing the Corporate Finance, Project Finance and Private Placement Departments.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 xml:space="preserve">The Commitment Committees at both Dean Witter Reynolds and Prudential Securities (collectively, the "Committee") were responsible for granting final approval to every underwriting and private placement transaction undertaken by that firm.  In each case, the Committee was comprised of half a dozen or more highly experienced senior executives whose duty was to thoroughly review proposed transactions to insure that they met the firm's standards for quality, suitability and appropriate value.  Most important among the issues reviewed in these meetings were the scope and findings of the underwriting teams' due diligence efforts.  Discussions in this regard were often quite extensive as the Committee members assessed the teams' overall analyses and particular conclusions.  During my tenure as Chairman of the Committee at both firms, I estimate that I chaired the review of </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well over one thousand transactions.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I am being compensated for my services in this litigation, including my work culminating in this Report and for my testimony at trial, if any, at a rate of $550 per hour.  My compensation is independent of the outcome of this litigation.</w:t>
      </w:r>
    </w:p>
    <w:p>
      <w:pPr>
        <w:pStyle w:val="Normal"/>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t>Materials Reviewed</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Documents and materials produced, prepared or pertaining to the NSM Litigation were made available to me, and I specifically reviewed the following materials and conducted the interviews identified below:</w:t>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 xml:space="preserve">Second Amended Complaint in Farallon Capital Partners, L.P., et al. v. Gleacher &amp; Co., Inc., </w:t>
      </w:r>
      <w:r>
        <w:rPr>
          <w:rFonts w:cs="Century Schoolbook" w:ascii="Century Schoolbook" w:hAnsi="Century Schoolbook"/>
          <w:i/>
          <w:sz w:val="24"/>
        </w:rPr>
        <w:t>et al.</w:t>
      </w:r>
      <w:r>
        <w:rPr>
          <w:rFonts w:cs="Century Schoolbook" w:ascii="Century Schoolbook" w:hAnsi="Century Schoolbook"/>
          <w:sz w:val="24"/>
        </w:rPr>
        <w:t>;</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Two versions of road show slides attached to the Complaint as Exhibits;</w:t>
      </w:r>
    </w:p>
    <w:p>
      <w:pPr>
        <w:pStyle w:val="Normal"/>
        <w:numPr>
          <w:ilvl w:val="0"/>
          <w:numId w:val="20"/>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Paine Webber Sales Memo attached to the Complaint as an Exhibit;</w:t>
      </w:r>
    </w:p>
    <w:p>
      <w:pPr>
        <w:pStyle w:val="Normal"/>
        <w:numPr>
          <w:ilvl w:val="0"/>
          <w:numId w:val="20"/>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NSM Offering Memorandum, dated March 2,1998;</w:t>
      </w:r>
    </w:p>
    <w:p>
      <w:pPr>
        <w:pStyle w:val="Normal"/>
        <w:numPr>
          <w:ilvl w:val="0"/>
          <w:numId w:val="20"/>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LLC Agreement of NSM Management Co;</w:t>
      </w:r>
    </w:p>
    <w:p>
      <w:pPr>
        <w:pStyle w:val="Normal"/>
        <w:numPr>
          <w:ilvl w:val="0"/>
          <w:numId w:val="20"/>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Management Agreement between NSM and NSM Management Co;</w:t>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Management Advisory and Technical Assistance Agreement between SDI and NSM Management Company;</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Ralph Hellmold (The Private Investment Banking Company) and accompanying Exhibits 1-35;</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Brian Musgrave;</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Bud Hoffman;</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Robert M. Daines;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George S. Oldfield;</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John C. Coffee, Jr.;</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 xml:space="preserve">Rough format deposition transcripts of Brian Barth taken February 21, February 22, February 23 and February 24, 2001; </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Off-Take Agreement between NSM and Preusssag Handel GMBH, dated November 19, 1997;</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Off-Take Agreement between NSM and Klockner Steel Trade GMBH, dated November 19, 1997;</w:t>
      </w:r>
    </w:p>
    <w:p>
      <w:pPr>
        <w:pStyle w:val="Normal"/>
        <w:ind w:start="360" w:end="0"/>
        <w:rPr>
          <w:rFonts w:ascii="Century Schoolbook" w:hAnsi="Century Schoolbook" w:eastAsia="Century Schoolbook" w:cs="Century Schoolbook"/>
          <w:sz w:val="24"/>
        </w:rPr>
      </w:pPr>
      <w:r>
        <w:rPr>
          <w:rFonts w:eastAsia="Century Schoolbook" w:cs="Century Schoolbook" w:ascii="Century Schoolbook" w:hAnsi="Century Schoolbook"/>
          <w:sz w:val="24"/>
        </w:rPr>
        <w:t xml:space="preserve"> </w:t>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Excerpts from the deposition of Edward McNamara of Cravath, Swain &amp; Moore.</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 xml:space="preserve">NSM Public Company Officer's Certificate, dated march 12, 1998; and </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Brian Barth deposition exhibits 1911-1975.</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An outline of ECT due diligence procedures.</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Legg Mason First Amended Complaint, January 13, 2000.</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0"/>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Bates numbered documents, MCD:</w:t>
      </w:r>
    </w:p>
    <w:p>
      <w:pPr>
        <w:pStyle w:val="Normal"/>
        <w:numPr>
          <w:ilvl w:val="0"/>
          <w:numId w:val="6"/>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1146-1180</w:t>
      </w:r>
    </w:p>
    <w:p>
      <w:pPr>
        <w:pStyle w:val="Normal"/>
        <w:numPr>
          <w:ilvl w:val="0"/>
          <w:numId w:val="6"/>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1181-1205</w:t>
      </w:r>
    </w:p>
    <w:p>
      <w:pPr>
        <w:pStyle w:val="Normal"/>
        <w:numPr>
          <w:ilvl w:val="0"/>
          <w:numId w:val="6"/>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21632</w:t>
      </w:r>
    </w:p>
    <w:p>
      <w:pPr>
        <w:pStyle w:val="Normal"/>
        <w:numPr>
          <w:ilvl w:val="0"/>
          <w:numId w:val="6"/>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21805-21807</w:t>
      </w:r>
    </w:p>
    <w:p>
      <w:pPr>
        <w:pStyle w:val="Normal"/>
        <w:numPr>
          <w:ilvl w:val="0"/>
          <w:numId w:val="6"/>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776-779</w:t>
      </w:r>
    </w:p>
    <w:p>
      <w:pPr>
        <w:pStyle w:val="Normal"/>
        <w:numPr>
          <w:ilvl w:val="0"/>
          <w:numId w:val="6"/>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3560-3565</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ind w:start="360" w:end="0"/>
        <w:rPr>
          <w:rFonts w:ascii="Century Schoolbook" w:hAnsi="Century Schoolbook" w:cs="Century Schoolbook"/>
          <w:sz w:val="24"/>
        </w:rPr>
      </w:pPr>
      <w:r>
        <w:rPr>
          <w:rFonts w:cs="Century Schoolbook" w:ascii="Century Schoolbook" w:hAnsi="Century Schoolbook"/>
          <w:sz w:val="24"/>
        </w:rPr>
        <w:t>23.Bates numbered documents, ECT/NSM:</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136</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8822</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11961-11962</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3883-3895</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3896-3910</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3912-3917</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10418</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10144-101157</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9648-9650</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9639-9643</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9750-9760</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2858-2883</w:t>
      </w:r>
    </w:p>
    <w:p>
      <w:pPr>
        <w:pStyle w:val="Normal"/>
        <w:tabs>
          <w:tab w:val="clear" w:pos="720"/>
          <w:tab w:val="left" w:pos="1440" w:leader="none"/>
        </w:tabs>
        <w:rPr>
          <w:rFonts w:ascii="Century Schoolbook" w:hAnsi="Century Schoolbook" w:eastAsia="Century Schoolbook" w:cs="Century Schoolbook"/>
          <w:sz w:val="24"/>
        </w:rPr>
      </w:pPr>
      <w:r>
        <w:rPr>
          <w:rFonts w:eastAsia="Century Schoolbook" w:cs="Century Schoolbook" w:ascii="Century Schoolbook" w:hAnsi="Century Schoolbook"/>
          <w:sz w:val="24"/>
        </w:rPr>
        <w:t xml:space="preserve">     </w:t>
      </w:r>
    </w:p>
    <w:p>
      <w:pPr>
        <w:pStyle w:val="Normal"/>
        <w:tabs>
          <w:tab w:val="clear" w:pos="720"/>
          <w:tab w:val="left" w:pos="1440" w:leader="none"/>
        </w:tabs>
        <w:rPr>
          <w:rFonts w:ascii="Century Schoolbook" w:hAnsi="Century Schoolbook" w:cs="Century Schoolbook"/>
          <w:sz w:val="24"/>
        </w:rPr>
      </w:pPr>
      <w:r>
        <w:rPr>
          <w:rFonts w:cs="Century Schoolbook" w:ascii="Century Schoolbook" w:hAnsi="Century Schoolbook"/>
          <w:sz w:val="24"/>
        </w:rPr>
      </w:r>
    </w:p>
    <w:p>
      <w:pPr>
        <w:pStyle w:val="Normal"/>
        <w:tabs>
          <w:tab w:val="clear" w:pos="720"/>
          <w:tab w:val="left" w:pos="1440" w:leader="none"/>
        </w:tabs>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24.Bates numbered document, WC 6791-6795.</w:t>
      </w:r>
    </w:p>
    <w:p>
      <w:pPr>
        <w:pStyle w:val="Normal"/>
        <w:tabs>
          <w:tab w:val="clear" w:pos="720"/>
          <w:tab w:val="left" w:pos="1440" w:leader="none"/>
        </w:tabs>
        <w:rPr>
          <w:rFonts w:ascii="Century Schoolbook" w:hAnsi="Century Schoolbook" w:cs="Century Schoolbook"/>
          <w:sz w:val="24"/>
        </w:rPr>
      </w:pPr>
      <w:r>
        <w:rPr>
          <w:rFonts w:cs="Century Schoolbook" w:ascii="Century Schoolbook" w:hAnsi="Century Schoolbook"/>
          <w:sz w:val="24"/>
        </w:rPr>
      </w:r>
    </w:p>
    <w:p>
      <w:pPr>
        <w:pStyle w:val="Normal"/>
        <w:tabs>
          <w:tab w:val="clear" w:pos="720"/>
          <w:tab w:val="left" w:pos="1440" w:leader="none"/>
        </w:tabs>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25.Bates numbered documents, SDITH:</w:t>
      </w:r>
    </w:p>
    <w:p>
      <w:pPr>
        <w:pStyle w:val="Normal"/>
        <w:numPr>
          <w:ilvl w:val="0"/>
          <w:numId w:val="17"/>
        </w:numPr>
        <w:tabs>
          <w:tab w:val="clear" w:pos="720"/>
          <w:tab w:val="left" w:pos="1104" w:leader="none"/>
        </w:tabs>
        <w:ind w:hanging="360" w:start="1104" w:end="0"/>
        <w:rPr>
          <w:rFonts w:ascii="Century Schoolbook" w:hAnsi="Century Schoolbook" w:cs="Century Schoolbook"/>
          <w:sz w:val="24"/>
        </w:rPr>
      </w:pPr>
      <w:r>
        <w:rPr>
          <w:rFonts w:cs="Century Schoolbook" w:ascii="Century Schoolbook" w:hAnsi="Century Schoolbook"/>
          <w:sz w:val="24"/>
        </w:rPr>
        <w:t>4656-657</w:t>
      </w:r>
    </w:p>
    <w:p>
      <w:pPr>
        <w:pStyle w:val="Normal"/>
        <w:numPr>
          <w:ilvl w:val="0"/>
          <w:numId w:val="17"/>
        </w:numPr>
        <w:tabs>
          <w:tab w:val="clear" w:pos="720"/>
          <w:tab w:val="left" w:pos="1104" w:leader="none"/>
        </w:tabs>
        <w:ind w:hanging="360" w:start="1104" w:end="0"/>
        <w:rPr>
          <w:rFonts w:ascii="Century Schoolbook" w:hAnsi="Century Schoolbook" w:cs="Century Schoolbook"/>
          <w:sz w:val="24"/>
        </w:rPr>
      </w:pPr>
      <w:r>
        <w:rPr>
          <w:rFonts w:cs="Century Schoolbook" w:ascii="Century Schoolbook" w:hAnsi="Century Schoolbook"/>
          <w:sz w:val="24"/>
        </w:rPr>
        <w:t>17940-17947</w:t>
      </w:r>
    </w:p>
    <w:p>
      <w:pPr>
        <w:pStyle w:val="Normal"/>
        <w:ind w:start="744" w:end="0"/>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26.Bates numbered documents, NSM:</w:t>
      </w:r>
    </w:p>
    <w:p>
      <w:pPr>
        <w:pStyle w:val="Normal"/>
        <w:numPr>
          <w:ilvl w:val="0"/>
          <w:numId w:val="32"/>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214-220</w:t>
      </w:r>
    </w:p>
    <w:p>
      <w:pPr>
        <w:pStyle w:val="Normal"/>
        <w:numPr>
          <w:ilvl w:val="0"/>
          <w:numId w:val="32"/>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192-204</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27.Bates numbered document N25959-25964.</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 xml:space="preserve">28.Interviews with various members of ECT who participated in the due </w:t>
      </w:r>
    </w:p>
    <w:p>
      <w:pPr>
        <w:pStyle w:val="Normal"/>
        <w:ind w:start="720" w:end="0"/>
        <w:rPr>
          <w:rFonts w:ascii="Century Schoolbook" w:hAnsi="Century Schoolbook" w:cs="Century Schoolbook"/>
          <w:sz w:val="24"/>
        </w:rPr>
      </w:pPr>
      <w:r>
        <w:rPr>
          <w:rFonts w:cs="Century Schoolbook" w:ascii="Century Schoolbook" w:hAnsi="Century Schoolbook"/>
          <w:sz w:val="24"/>
        </w:rPr>
        <w:t>diligence investigation and the related document review pertaining to the NSM transaction, including: Brian Barth, Thomas Glanville, Kevin McConville, and Travis McCullough.</w:t>
        <w:tab/>
      </w:r>
    </w:p>
    <w:p>
      <w:pPr>
        <w:pStyle w:val="Normal"/>
        <w:ind w:start="1440" w:end="0"/>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tabs>
          <w:tab w:val="clear" w:pos="720"/>
          <w:tab w:val="left" w:pos="8100" w:leader="none"/>
        </w:tabs>
        <w:jc w:val="center"/>
        <w:rPr>
          <w:rFonts w:ascii="Century Schoolbook" w:hAnsi="Century Schoolbook" w:cs="Century Schoolbook"/>
          <w:i/>
          <w:i/>
          <w:sz w:val="24"/>
          <w:u w:val="single"/>
        </w:rPr>
      </w:pPr>
      <w:r>
        <w:rPr>
          <w:rFonts w:cs="Century Schoolbook" w:ascii="Century Schoolbook" w:hAnsi="Century Schoolbook"/>
          <w:b/>
          <w:i/>
          <w:sz w:val="24"/>
          <w:u w:val="single"/>
        </w:rPr>
        <w:t>The "Due Diligence Process"</w:t>
      </w:r>
    </w:p>
    <w:p>
      <w:pPr>
        <w:pStyle w:val="Normal"/>
        <w:tabs>
          <w:tab w:val="clear" w:pos="720"/>
          <w:tab w:val="left" w:pos="8100" w:leader="none"/>
        </w:tabs>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The phrase "due diligence" refers to the process by which placement agents or underwriters attempt to become reasonably familiar with the financial condition, business operations and future prospects of the issuer, and thereby determine the reasonableness of statements in the offering memorandum.  The scope of an agent's or underwriter's due diligence cannot be subject to a rigid checklist of questions to be asked and documents reviewed.  Rather, the due diligence investigation must be specifically tailored to the individual circumstances of a particular offering so as to best serve its underlying purpose of appropriate evaluation and disclosure.  The reasonableness of an agent's due diligence must be assessed in light of its overall conduct and the overall scope of its inquiry, based on the information available to it up to the time of the offering.</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The scope of the due diligence investigation is normally subject to a number of practical constraints.  For example, an underwriter or placement agent customarily does not have full and immediate access to all of the issuer's internal memoranda and other documents, historical or curent, that might reveal problems or contradict statements made to the underwriter by the issuer's management.  Because the underwriter does not have such access and as a practical matter is not expected to interview all of the issuer's employees, an underwriter may reasonably rely on the representations of the issuer's senior management with respect to information that is solely in the possession of the issuer or that cannot reasonably be verified by third parties.  Representations made by the issuer in its offering memorandum and representations made by the issuer's legal counsel, auditors or professional technical advisors, if any, are subject to normal due diligence scrutiny, but have the presumption of reliability until shown otherwise.  Absent some suggestion or other indication to the contrary, an agent or underwriter customarily does not assume that the issuer's management, its representatives, or any other party to the offering, is lying to the underwriter or engaging in fraudulent conduct; and the scope of due diligence customarily is not predicated on any such an assumption of deception or fraud.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The due diligence investigation typically encompasses a comprehensive  examination of the issuer's historical financial statements and business operations as well as a focused review of particular matters that may be especially relevant to the issuer's business and prospects.  There is no expectation that an underwriter or agent is necessarily an expert in the field of the issuer's business.  The agent will examine the issuer's facilities, organization and operations, have extensive interviews with management so as to understand the business and determine the critical variables and, where necessary, rely on independent experts in the field to obtain further assurance regarding the issuer's business plan and the reasonableness of its prospects.  </w:t>
      </w:r>
    </w:p>
    <w:p>
      <w:pPr>
        <w:pStyle w:val="Normal"/>
        <w:spacing w:lineRule="auto" w:line="480"/>
        <w:ind w:firstLine="720" w:end="0"/>
        <w:rPr/>
      </w:pPr>
      <w:r>
        <w:rPr>
          <w:rFonts w:cs="Century Schoolbook" w:ascii="Century Schoolbook" w:hAnsi="Century Schoolbook"/>
          <w:sz w:val="24"/>
        </w:rPr>
        <w:t>These analyses of past operations and financial results provide the underlying framework for evaluating the issuer's future business plans and projections.  When an offering involves the securities of an issuer which is dramatically changing the focus and scope of its operations, or is a start-up or development stage company, such as, NSM, there are few historical reference points.  In such a situation where past performance cannot be used as guide to future results and where the investors' return hinges entirely on the attainment of the issuer's projected results of operations, it is incumbent upon the agent or underwriter to thoroughly investigate the critical assumptions controlling the business plan and test the underlying bases for the projections.  These plans and projections must be evaluated based on the comparable operations of other companies, if any; discussions with, and reports by, consultants or other third-party experts; interviews with management; discussions with potential suppliers and customers; legal review of important contracts and other legal documents</w:t>
      </w:r>
      <w:r>
        <w:rPr>
          <w:rFonts w:cs="Century Schoolbook" w:ascii="Century Schoolbook" w:hAnsi="Century Schoolbook"/>
          <w:b/>
          <w:sz w:val="24"/>
        </w:rPr>
        <w:t xml:space="preserve">; </w:t>
      </w:r>
      <w:r>
        <w:rPr>
          <w:rFonts w:cs="Century Schoolbook" w:ascii="Century Schoolbook" w:hAnsi="Century Schoolbook"/>
          <w:sz w:val="24"/>
        </w:rPr>
        <w:t xml:space="preserve">and a rigorous sensitivity analyses of the financial projections to identify and assess critical variables.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In an offering involving multiple underwriters or agents, one of the firms, by virtue of its relationship with the issuer, its investment banking prestige, or its recognized skills in selling securities is designated by the issuer as the "lead" or "managing" underwriter.  This is because, as a practical matter, an issuer, together with its counsel and auditors, cannot be responding to disparate requests from multiple underwriters or agents for document review, plant tours, management interviews, etc.  At the outset of the offering process, this managing underwriter [a] selects the legal counsel that will represent all of the agents or underwriters and [b] directs all aspects of (1) the ensuing due diligence investigation, (2) drafting sessions, (3) road show presentations, and (4) eventual placement of the securities with investors.  The other two, three, four or more agents/underwriters (referred to as "co-managers"), follow the direction of the "lead", often participating in a number of "all hands" due diligence and drafting sessions which also include the company's management, the outside auditors, and counsel to both the issuer and underwriters, to discuss important issues and begin the process of drafting the offering memorandum.  Due diligence and drafting typically occur contemporaneously and the more intensive aspects of the due diligence process culminate in the printing and distribution of the preliminary offering memorandum (akin to the filing of a  "red herring" in an underwritten offering).  </w:t>
      </w:r>
    </w:p>
    <w:p>
      <w:pPr>
        <w:pStyle w:val="Normal"/>
        <w:spacing w:lineRule="auto" w:line="480"/>
        <w:ind w:firstLine="720" w:end="0"/>
        <w:rPr/>
      </w:pPr>
      <w:r>
        <w:rPr>
          <w:rFonts w:cs="Century Schoolbook" w:ascii="Century Schoolbook" w:hAnsi="Century Schoolbook"/>
          <w:sz w:val="24"/>
        </w:rPr>
        <w:t xml:space="preserve">The period between the distribution of the preliminary offering memorandum and the offering itself (and the concurrent printing of the final offering memorandum) is when the placement agents contact potential investors, provide them with copies of the preliminary offering memorandum, and take the management around the country to meet with important potential investors.  Typically, these investor meetings occur in so-called "road show" presentations, wherein management discusses its plans and prospects and then investors will ask questions of management based upon their reading of the offering memorandum and the statements made at the presentations itself.  During this selling period, the agents will customarily conduct follow-up due diligence which basically entails making inquiries regarding current developments to ascertain whether the company's condition is as presented in the preliminary documents.  During this follow-up phase, agents typically do not </w:t>
      </w:r>
      <w:r>
        <w:rPr>
          <w:rFonts w:eastAsia="Symbol" w:cs="Symbol" w:ascii="Symbol" w:hAnsi="Symbol"/>
          <w:sz w:val="24"/>
        </w:rPr>
        <w:sym w:font="Symbol" w:char="f02d"/>
      </w:r>
      <w:r>
        <w:rPr>
          <w:rFonts w:cs="Century Schoolbook" w:ascii="Century Schoolbook" w:hAnsi="Century Schoolbook"/>
          <w:sz w:val="24"/>
        </w:rPr>
        <w:t xml:space="preserve"> absent some reason to believe there is a need to do so </w:t>
      </w:r>
      <w:r>
        <w:rPr>
          <w:rFonts w:eastAsia="Symbol" w:cs="Symbol" w:ascii="Symbol" w:hAnsi="Symbol"/>
          <w:sz w:val="24"/>
        </w:rPr>
        <w:sym w:font="Symbol" w:char="f02d"/>
      </w:r>
      <w:r>
        <w:rPr>
          <w:rFonts w:cs="Century Schoolbook" w:ascii="Century Schoolbook" w:hAnsi="Century Schoolbook"/>
          <w:sz w:val="24"/>
        </w:rPr>
        <w:t xml:space="preserve"> re-contact third parties who were previously interviewed.  Rather, they customarily rely on representations of the management as to current developments and invariably, as a condition precedent to closing, obtain formal written representations from management, the company's auditors and issuer's counsel that the offering memorandum is accurate in all material respects.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r>
    </w:p>
    <w:p>
      <w:pPr>
        <w:pStyle w:val="Heading5"/>
        <w:ind w:hanging="0" w:start="0"/>
        <w:rPr/>
      </w:pPr>
      <w:r>
        <w:rPr/>
        <w:t>Characterization of ECT as an "Underwriter"</w:t>
      </w:r>
    </w:p>
    <w:p>
      <w:pPr>
        <w:pStyle w:val="Normal"/>
        <w:spacing w:lineRule="auto" w:line="480"/>
        <w:ind w:firstLine="720" w:end="0"/>
        <w:rPr/>
      </w:pPr>
      <w:r>
        <w:rPr>
          <w:rFonts w:cs="Century Schoolbook" w:ascii="Century Schoolbook" w:hAnsi="Century Schoolbook"/>
          <w:sz w:val="24"/>
        </w:rPr>
        <w:t xml:space="preserve">In the above section and occasionally elsewhere in this Report, I use the words placement agent and underwriter interchangeably though recognizing that ECT Securities Corp. was an </w:t>
      </w:r>
      <w:r>
        <w:rPr>
          <w:rFonts w:cs="Century Schoolbook" w:ascii="Century Schoolbook" w:hAnsi="Century Schoolbook"/>
          <w:sz w:val="24"/>
          <w:u w:val="single"/>
        </w:rPr>
        <w:t>agent</w:t>
      </w:r>
      <w:r>
        <w:rPr>
          <w:rFonts w:cs="Century Schoolbook" w:ascii="Century Schoolbook" w:hAnsi="Century Schoolbook"/>
          <w:sz w:val="24"/>
        </w:rPr>
        <w:t xml:space="preserve"> in a 144A private placement of NSM securities, not an underwriter.  In the Expert Report of John C. Coffee, Jr., he demonstrates that there are substantial distinctions in due diligence duties and potential liabilities as between an underwriter and a private placement agent under federal statutes and many state jurisdictions.  Plaintiffs assert there is no such distinction under California statutes.  I have no opinion, nor even cause for concern, whether such a distinction exists in this litigation, because the criteria which I used to assess the quality and scope of ECT's due diligence were the same that I would expect of an underwriter in a public offering. </w:t>
      </w:r>
    </w:p>
    <w:p>
      <w:pPr>
        <w:pStyle w:val="Normal"/>
        <w:spacing w:lineRule="auto" w:line="480" w:before="240" w:after="0"/>
        <w:ind w:firstLine="720" w:end="0"/>
        <w:rPr/>
      </w:pPr>
      <w:r>
        <w:rPr>
          <w:rFonts w:cs="Century Schoolbook" w:ascii="Century Schoolbook" w:hAnsi="Century Schoolbook"/>
          <w:sz w:val="24"/>
        </w:rPr>
        <w:t xml:space="preserve">However, I have two problems with the Plaintiffs' and their experts' universal usage of the term "underwriter", rather than "placement agent" to describe ECT's legal capacity in the offering.  First, I believe their usage of this term is for a rhetorical effect designed to encourage the reader accept </w:t>
      </w:r>
      <w:r>
        <w:rPr>
          <w:rFonts w:cs="Century Schoolbook" w:ascii="Century Schoolbook" w:hAnsi="Century Schoolbook"/>
          <w:i/>
          <w:sz w:val="24"/>
        </w:rPr>
        <w:t>prima facie</w:t>
      </w:r>
      <w:r>
        <w:rPr>
          <w:rFonts w:cs="Century Schoolbook" w:ascii="Century Schoolbook" w:hAnsi="Century Schoolbook"/>
          <w:sz w:val="24"/>
        </w:rPr>
        <w:t xml:space="preserve"> that no such distinction in duties or liabilities exists when, in fact, that likely will be an issue in the trial.  Second, in this private placement offering, the liability sharing arrangement agreed-to by each of the placement agents is distinctly different than that found in an underwriting.  The Purchase Agreement does not contain the provision </w:t>
      </w:r>
      <w:r>
        <w:rPr>
          <w:rFonts w:cs="Century Schoolbook" w:ascii="Century Schoolbook" w:hAnsi="Century Schoolbook"/>
          <w:sz w:val="24"/>
          <w:u w:val="single"/>
        </w:rPr>
        <w:t>universally</w:t>
      </w:r>
      <w:r>
        <w:rPr>
          <w:rFonts w:cs="Century Schoolbook" w:ascii="Century Schoolbook" w:hAnsi="Century Schoolbook"/>
          <w:sz w:val="24"/>
        </w:rPr>
        <w:t xml:space="preserve"> found in underwriting agreements wherein the underwriters legally bind together in accepting "joint" liabilities.  The agreement among the Initial Purchasers set forth in the Purchase Agreement excludes acceptance of any "joint" liabilities and specifically states the liabilities among them are "several", as follows: </w:t>
      </w:r>
    </w:p>
    <w:p>
      <w:pPr>
        <w:pStyle w:val="BodyTextIndent2"/>
        <w:numPr>
          <w:ilvl w:val="0"/>
          <w:numId w:val="18"/>
        </w:numPr>
        <w:tabs>
          <w:tab w:val="left" w:pos="720" w:leader="none"/>
        </w:tabs>
        <w:spacing w:lineRule="auto" w:line="240" w:before="240" w:after="0"/>
        <w:ind w:hanging="360" w:start="720" w:end="0"/>
        <w:rPr/>
      </w:pPr>
      <w:r>
        <w:rPr/>
        <w:t xml:space="preserve">Section 7, "Indemnification and Contribution" </w:t>
      </w:r>
      <w:r>
        <w:rPr>
          <w:rFonts w:eastAsia="Symbol" w:cs="Symbol" w:ascii="Symbol" w:hAnsi="Symbol"/>
        </w:rPr>
        <w:sym w:font="Symbol" w:char="f02d"/>
      </w:r>
      <w:r>
        <w:rPr/>
        <w:t xml:space="preserve"> "Each of the Purchasers hereby </w:t>
      </w:r>
      <w:r>
        <w:rPr>
          <w:u w:val="single"/>
        </w:rPr>
        <w:t>severally and not jointly</w:t>
      </w:r>
      <w:r>
        <w:rPr/>
        <w:t xml:space="preserve"> indemnifies…" (Bates # MCD 1174), and    </w:t>
      </w:r>
    </w:p>
    <w:p>
      <w:pPr>
        <w:pStyle w:val="BodyTextIndent2"/>
        <w:numPr>
          <w:ilvl w:val="0"/>
          <w:numId w:val="25"/>
        </w:numPr>
        <w:tabs>
          <w:tab w:val="left" w:pos="720" w:leader="none"/>
        </w:tabs>
        <w:spacing w:lineRule="auto" w:line="240" w:before="240" w:after="0"/>
        <w:ind w:hanging="360" w:start="720" w:end="0"/>
        <w:rPr/>
      </w:pPr>
      <w:r>
        <w:rPr/>
        <w:t xml:space="preserve">Section 8, "Default of Purchasers" </w:t>
      </w:r>
      <w:r>
        <w:rPr>
          <w:rFonts w:eastAsia="Symbol" w:cs="Symbol" w:ascii="Symbol" w:hAnsi="Symbol"/>
        </w:rPr>
        <w:sym w:font="Symbol" w:char="f02d"/>
      </w:r>
      <w:r>
        <w:rPr/>
        <w:t xml:space="preserve"> "If the Purchaser or Purchasers default in their obligations to purchase Offered Securities…the non-defaulting Purchasers shall be obligated </w:t>
      </w:r>
      <w:r>
        <w:rPr>
          <w:u w:val="single"/>
        </w:rPr>
        <w:t>severally</w:t>
      </w:r>
      <w:r>
        <w:rPr/>
        <w:t xml:space="preserve"> in proportion to their respective commitments hereunder…" (Bates # MCD1176).</w:t>
      </w:r>
    </w:p>
    <w:p>
      <w:pPr>
        <w:pStyle w:val="BodyTextIndent2"/>
        <w:spacing w:before="240" w:after="0"/>
        <w:ind w:hanging="0" w:end="0"/>
        <w:rPr/>
      </w:pPr>
      <w:r>
        <w:rPr/>
        <w:t>The Plaintiffs assert that ECT was "an agent, partner, joint venturer, co-conspirator and alter ego of the (other) defendants".  California's statutes in this regard may, or may not, support Plaintiffs' assertion.  However, I am informed that ECT accepts no such characterization, and the relevant provisions in the Purchase Agreement  demonstrate the mutually agreed intent of the placement agents on this matter.</w:t>
      </w:r>
    </w:p>
    <w:p>
      <w:pPr>
        <w:pStyle w:val="BodyTextIndent2"/>
        <w:spacing w:before="240" w:after="0"/>
        <w:ind w:hanging="0" w:end="0"/>
        <w:rPr>
          <w:rFonts w:eastAsia="Century Schoolbook"/>
        </w:rPr>
      </w:pPr>
      <w:r>
        <w:rPr>
          <w:rFonts w:eastAsia="Century Schoolbook"/>
        </w:rPr>
        <w:t xml:space="preserve">  </w:t>
      </w:r>
    </w:p>
    <w:p>
      <w:pPr>
        <w:pStyle w:val="BodyTextIndent2"/>
        <w:jc w:val="center"/>
        <w:rPr>
          <w:b/>
          <w:i/>
          <w:i/>
          <w:u w:val="single"/>
        </w:rPr>
      </w:pPr>
      <w:r>
        <w:rPr>
          <w:b/>
          <w:i/>
          <w:u w:val="single"/>
        </w:rPr>
        <w:t>Assessment of ECT's Due Diligence of NSM</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 xml:space="preserve">Based on my review of the written and testimonial record in this litigation, as well as personal interviews with members of the due diligence team, it is my opinion that, when viewed in light of the information available to ECT and the totality of the circumstances at the time of the placement, the due diligence performed by ECT was adequate and reasonably conformed to industry standards.  ECT took all reasonable measures expected of a placement agent to insure that the Offering Memorandum's descriptions of NSM's operations, facilities and prospects were not misleading and that investors were fully alerted to the risk factors inherent in this start-up operation.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This opinion is based, in part, on the facts discussed in the following sections and as further derived from my personal interviews of members of the ECT's due diligence team.  I assessed the adequacy of ECT's due diligence procedures, using the following criteria:</w:t>
      </w:r>
    </w:p>
    <w:p>
      <w:pPr>
        <w:pStyle w:val="Normal"/>
        <w:numPr>
          <w:ilvl w:val="0"/>
          <w:numId w:val="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The background and experience of the personnel assigned to the NSM transaction and the time and effort they committed to this project.</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The scope of ECT's due diligence review, both in terms of its comprehensiveness and its recognition of critical issues.</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The due diligence team's use of other resources to augment and substantiate its own assessments, including [a] other resources and technical expertise within Enron, [b] outside consultants and third-party sources, [c] industry-specific expertise of its co-placement agent, Paine Webber ("PW"), [d] company-specific expertise of McDonald &amp; Co., ("MCD") and [e] the industry, market, technical and operating expertise of Steel Dynamics, Inc. ("SDI").</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 xml:space="preserve">ECT's efforts to insure that [a] the disclosures contained in the Offering Memorandum fairly described NSM's proposed business operations, financial condition, and prospects as well as the risks related to accomplishing NSM's start-up as ECT knew them to be, and [b] such disclosures were not misleading in any material way based on the information available to ECT at the time of the offering.  </w:t>
      </w:r>
    </w:p>
    <w:p>
      <w:pPr>
        <w:pStyle w:val="Normal"/>
        <w:spacing w:lineRule="auto" w:line="480"/>
        <w:rPr>
          <w:rFonts w:ascii="Century Schoolbook" w:hAnsi="Century Schoolbook" w:cs="Century Schoolbook"/>
          <w:sz w:val="24"/>
        </w:rPr>
      </w:pPr>
      <w:r>
        <w:rPr>
          <w:rFonts w:cs="Century Schoolbook" w:ascii="Century Schoolbook" w:hAnsi="Century Schoolbook"/>
          <w:sz w:val="24"/>
        </w:rPr>
      </w:r>
    </w:p>
    <w:p>
      <w:pPr>
        <w:pStyle w:val="Heading2"/>
        <w:ind w:hanging="0" w:start="0"/>
        <w:rPr>
          <w:u w:val="none"/>
        </w:rPr>
      </w:pPr>
      <w:r>
        <w:rPr>
          <w:u w:val="none"/>
        </w:rPr>
        <w:t>A. Qualifications of ECT's Due Diligence Team</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Three individuals from ECT handled most of the substantive due diligence investigation: Kevin McConville, Managing Director, Thomas Glanville, Vice President, and Brian Barth, Director.  They were assisted in certain financial analytics by two experienced Analysts and in document review by Travis McCullough, Senior Counsel, from the Legal Department, who, in turn was assisted by outside counsel, Akin, Gump, Strauss, Hauer &amp; Feld, L.L.P.  (The above titles are those held during the period of the due diligence review.)</w:t>
      </w:r>
    </w:p>
    <w:p>
      <w:pPr>
        <w:pStyle w:val="BodyText"/>
        <w:rPr/>
      </w:pPr>
      <w:r>
        <w:rPr/>
        <w:tab/>
        <w:t>Due diligence on NSM was initially started in June, 1997 and was intensive for the six months from September, 1997 to March, 1998 and, although all of the above individuals worked on other projects during this period, especially for Glanville and Barth, it was one of their major assignments.  Glanville joined ECT in 1991 and for the six years prior to 1997, he held several positions in different units of ECT where he was involved in such things as trading oil contracts, structuring production payment financings and risk management products, running ECT's 48-person Canadian oil financing subsidiary, and leading a team serving large international energy consumers; prior to that he spent four years with Bankers Trust, two years with Texas Commerce Bank, and three years with Mesa Petroleum; he has a B.A. from University of Virginia and a M.S. from Colorado School of Mines.  Barth, a CPA with a MBA in Finance, joined ECT in September, 1997, as a Director, initially assigned to transaction structuring and analysis; prior thereto, he worked two years as a Senior Accountant at Price Waterhouse, three years as an LBO and mergers Analyst at Citicorp, and, lastly, seven years as Assistant Vice President at Credit Lyonnais developing, structuring and negotiating finance transactions.  McConville, a Managing Director, had worked fifteen years at Enron in a variety of operating units with increasing responsibilities; he also worked three years for Panhandle Eastern and two years for Williams Corp; in each of these assignments he was involved basically in originating, negotiating, analyzing and structuring energy-related financings and risk management products.  (All three individuals were Series 7 licensed representatives of ECT Securities.)</w:t>
      </w:r>
    </w:p>
    <w:p>
      <w:pPr>
        <w:pStyle w:val="Normal"/>
        <w:spacing w:lineRule="auto" w:line="480"/>
        <w:ind w:firstLine="720" w:end="0"/>
        <w:rPr/>
      </w:pPr>
      <w:r>
        <w:rPr/>
        <w:t>Based upon my discussions with each of the above-named and a review of their education and work experience, I conclude that ECT's due diligence team was adequately experienced by background, spent ample time on this assignment, employed other ECT resources as needed, utilized reliable outside sources when appropriate and, consequently, was fully qualified to carry out the assigned due diligence tasks.</w:t>
      </w:r>
    </w:p>
    <w:p>
      <w:pPr>
        <w:pStyle w:val="Normal"/>
        <w:spacing w:lineRule="auto" w:line="480"/>
        <w:ind w:firstLine="720" w:end="0"/>
        <w:rPr/>
      </w:pPr>
      <w:r>
        <w:rPr/>
      </w:r>
    </w:p>
    <w:p>
      <w:pPr>
        <w:pStyle w:val="Heading6"/>
        <w:numPr>
          <w:ilvl w:val="0"/>
          <w:numId w:val="12"/>
        </w:numPr>
        <w:spacing w:lineRule="auto" w:line="240"/>
        <w:rPr>
          <w:rFonts w:ascii="Century Schoolbook" w:hAnsi="Century Schoolbook" w:cs="Century Schoolbook"/>
          <w:sz w:val="24"/>
        </w:rPr>
      </w:pPr>
      <w:r>
        <w:rPr>
          <w:rFonts w:cs="Century Schoolbook" w:ascii="Century Schoolbook" w:hAnsi="Century Schoolbook"/>
          <w:sz w:val="24"/>
        </w:rPr>
        <w:t>Scope of ECT's Due Diligence Review and Use of Reliable Outside  Sources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ECT's due diligence investigation spanned more than six months, encompassed extensive internal analyses and reviews in addition to numerous meetings and contacts with operating and management personnel from NSM as well as Outside  Sources (cited below).  Since a substantial portion of ECT's basic business involves international project financing of start-up operations, ECT, both as a company and as the team itself, was familiar with the issues and risks involved in start-up operations in emerging nation economies.  During the six month-plus due diligence period, the team undertook a comprehensive examination of NSM's facilities, planned operations, financial condition and prospects.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Below is but a partial listing of issues reviewed by ECT.  It is derived from my interviews and limited document review and is designed to provide a reasonable demonstration of the range and depth of  matters evaluated by the ECT due diligence team:</w:t>
      </w:r>
    </w:p>
    <w:p>
      <w:pPr>
        <w:pStyle w:val="Normal"/>
        <w:ind w:start="720" w:end="0"/>
        <w:rPr/>
      </w:pPr>
      <w:r>
        <w:rPr>
          <w:rFonts w:cs="Century Schoolbook" w:ascii="Century Schoolbook" w:hAnsi="Century Schoolbook"/>
          <w:b/>
          <w:sz w:val="24"/>
        </w:rPr>
        <w:t xml:space="preserve">Plant Location - </w:t>
      </w:r>
      <w:r>
        <w:rPr>
          <w:rFonts w:cs="Century Schoolbook" w:ascii="Century Schoolbook" w:hAnsi="Century Schoolbook"/>
          <w:sz w:val="24"/>
        </w:rPr>
        <w:t xml:space="preserve"> [a] Thai government structure and history, [b] political risk exposure and desirability of political risk insurance, [c] review of Thai economic growth, its export forecasts and a comparison of the economic crisis in Thailand versus similar events in other emerging economies, [d] economic analyses of the strategic location of  the NSM steel mill location within Thailand, [e] review of other participants in its industrial complex, [f] infrastructure analysis of [1] the sufficiency of the Sriracha port facilities (a Sawasdi affiliate) and its capacity for expansion and [2] the sufficiency of the roads from port to plant, [e] an evaluation of the Thai power grid and gas pipeline systems ability to supply the mill's peak demand needs, and [f] the steel consumption trends of Thailand and the S. E. Asian region.</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i/>
          <w:i/>
          <w:sz w:val="24"/>
        </w:rPr>
      </w:pPr>
      <w:r>
        <w:rPr>
          <w:rFonts w:cs="Century Schoolbook" w:ascii="Century Schoolbook" w:hAnsi="Century Schoolbook"/>
          <w:i/>
          <w:sz w:val="24"/>
        </w:rPr>
        <w:t>Outside Sources:</w:t>
      </w:r>
    </w:p>
    <w:p>
      <w:pPr>
        <w:pStyle w:val="Normal"/>
        <w:numPr>
          <w:ilvl w:val="0"/>
          <w:numId w:val="3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 xml:space="preserve">Within ECT (outside of McConville's team): </w:t>
      </w:r>
    </w:p>
    <w:p>
      <w:pPr>
        <w:pStyle w:val="Normal"/>
        <w:numPr>
          <w:ilvl w:val="0"/>
          <w:numId w:val="21"/>
        </w:numPr>
        <w:tabs>
          <w:tab w:val="clear" w:pos="720"/>
          <w:tab w:val="left" w:pos="2520" w:leader="none"/>
        </w:tabs>
        <w:ind w:hanging="360" w:start="2520" w:end="0"/>
        <w:rPr>
          <w:rFonts w:ascii="Century Schoolbook" w:hAnsi="Century Schoolbook" w:cs="Century Schoolbook"/>
          <w:sz w:val="24"/>
        </w:rPr>
      </w:pPr>
      <w:r>
        <w:rPr>
          <w:rFonts w:cs="Century Schoolbook" w:ascii="Century Schoolbook" w:hAnsi="Century Schoolbook"/>
          <w:sz w:val="24"/>
        </w:rPr>
        <w:t>Several members of the senior management for international projects, the manager for S. E. Asia operations, and the country manager for Thailand.</w:t>
      </w:r>
    </w:p>
    <w:p>
      <w:pPr>
        <w:pStyle w:val="Normal"/>
        <w:numPr>
          <w:ilvl w:val="0"/>
          <w:numId w:val="21"/>
        </w:numPr>
        <w:tabs>
          <w:tab w:val="clear" w:pos="720"/>
          <w:tab w:val="left" w:pos="2520" w:leader="none"/>
        </w:tabs>
        <w:ind w:hanging="360" w:start="2520" w:end="0"/>
        <w:rPr>
          <w:rFonts w:ascii="Century Schoolbook" w:hAnsi="Century Schoolbook" w:cs="Century Schoolbook"/>
          <w:sz w:val="24"/>
        </w:rPr>
      </w:pPr>
      <w:r>
        <w:rPr>
          <w:rFonts w:cs="Century Schoolbook" w:ascii="Century Schoolbook" w:hAnsi="Century Schoolbook"/>
          <w:sz w:val="24"/>
        </w:rPr>
        <w:t>In-house political risk experts and currency traders.</w:t>
      </w:r>
    </w:p>
    <w:p>
      <w:pPr>
        <w:pStyle w:val="Normal"/>
        <w:numPr>
          <w:ilvl w:val="0"/>
          <w:numId w:val="21"/>
        </w:numPr>
        <w:tabs>
          <w:tab w:val="clear" w:pos="720"/>
          <w:tab w:val="left" w:pos="2520" w:leader="none"/>
        </w:tabs>
        <w:ind w:hanging="360" w:start="2520" w:end="0"/>
        <w:rPr>
          <w:rFonts w:ascii="Century Schoolbook" w:hAnsi="Century Schoolbook" w:cs="Century Schoolbook"/>
          <w:sz w:val="24"/>
        </w:rPr>
      </w:pPr>
      <w:r>
        <w:rPr>
          <w:rFonts w:cs="Century Schoolbook" w:ascii="Century Schoolbook" w:hAnsi="Century Schoolbook"/>
          <w:sz w:val="24"/>
        </w:rPr>
        <w:t>A manager and an analyst in the Coal Group.</w:t>
      </w:r>
    </w:p>
    <w:p>
      <w:pPr>
        <w:pStyle w:val="Normal"/>
        <w:numPr>
          <w:ilvl w:val="0"/>
          <w:numId w:val="21"/>
        </w:numPr>
        <w:tabs>
          <w:tab w:val="clear" w:pos="720"/>
          <w:tab w:val="left" w:pos="2520" w:leader="none"/>
        </w:tabs>
        <w:ind w:hanging="360" w:start="2520" w:end="0"/>
        <w:rPr>
          <w:rFonts w:ascii="Century Schoolbook" w:hAnsi="Century Schoolbook" w:cs="Century Schoolbook"/>
          <w:sz w:val="24"/>
        </w:rPr>
      </w:pPr>
      <w:r>
        <w:rPr>
          <w:rFonts w:cs="Century Schoolbook" w:ascii="Century Schoolbook" w:hAnsi="Century Schoolbook"/>
          <w:sz w:val="24"/>
        </w:rPr>
        <w:t>Several analysts and managers within the credit department.</w:t>
      </w:r>
    </w:p>
    <w:p>
      <w:pPr>
        <w:pStyle w:val="Normal"/>
        <w:numPr>
          <w:ilvl w:val="0"/>
          <w:numId w:val="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Koch Industries' Sriracha port expert, John Dennis, and his analyst.</w:t>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and Brown</w:t>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Sawasdi</w:t>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The Director of the Sriracha port</w:t>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Resource Strategies</w:t>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McKinsey &amp; Co.</w:t>
      </w:r>
    </w:p>
    <w:p>
      <w:pPr>
        <w:pStyle w:val="Normal"/>
        <w:numPr>
          <w:ilvl w:val="0"/>
          <w:numId w:val="27"/>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Various Thai government ministers, legislators and banking officials</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NSM Facilities: Equipment -</w:t>
      </w:r>
      <w:r>
        <w:rPr>
          <w:rFonts w:cs="Century Schoolbook" w:ascii="Century Schoolbook" w:hAnsi="Century Schoolbook"/>
          <w:sz w:val="24"/>
        </w:rPr>
        <w:t xml:space="preserve"> [a] the key equipment elements comprising the existing and planned facilities, both as to their design and technology, [b] a comparison of NSM's equipment to that of competing plants and to advanced mini-mill facilities in the U.S., [c] the status of NSM's key equipment suppliers including their financial condition as well as their reputation for technical excellence, efficiency and reliability, [d] the benefits and risks associated with the following key production equipment: Consteel, DRI, EAF, caster, rolling mill, ferritic rolling mill, vacuum oxygen degasser, and the cold mill (pickling, annealing and galvanizing lines), and [e] the inspection of the NSM facilities in Thailand by Barth and Glanville.</w:t>
      </w:r>
    </w:p>
    <w:p>
      <w:pPr>
        <w:pStyle w:val="Normal"/>
        <w:ind w:start="720" w:end="0"/>
        <w:rPr>
          <w:rFonts w:ascii="Century Schoolbook" w:hAnsi="Century Schoolbook" w:cs="Century Schoolbook"/>
          <w:b/>
          <w:sz w:val="24"/>
        </w:rPr>
      </w:pPr>
      <w:r>
        <w:rPr>
          <w:rFonts w:cs="Century Schoolbook" w:ascii="Century Schoolbook" w:hAnsi="Century Schoolbook"/>
          <w:b/>
          <w:sz w:val="24"/>
        </w:rPr>
      </w:r>
    </w:p>
    <w:p>
      <w:pPr>
        <w:pStyle w:val="Normal"/>
        <w:ind w:start="720" w:end="0"/>
        <w:rPr>
          <w:rFonts w:ascii="Century Schoolbook" w:hAnsi="Century Schoolbook" w:cs="Century Schoolbook"/>
          <w:sz w:val="24"/>
        </w:rPr>
      </w:pPr>
      <w:r>
        <w:rPr>
          <w:rFonts w:cs="Century Schoolbook" w:ascii="Century Schoolbook" w:hAnsi="Century Schoolbook"/>
          <w:i/>
          <w:sz w:val="24"/>
        </w:rPr>
        <w:t>Outside Sources:</w:t>
      </w:r>
    </w:p>
    <w:p>
      <w:pPr>
        <w:pStyle w:val="Normal"/>
        <w:numPr>
          <w:ilvl w:val="0"/>
          <w:numId w:val="2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Landt, Hosick, Brown, Perin, Vajragupta, Hartman and Chan.</w:t>
      </w:r>
    </w:p>
    <w:p>
      <w:pPr>
        <w:pStyle w:val="Normal"/>
        <w:numPr>
          <w:ilvl w:val="0"/>
          <w:numId w:val="7"/>
        </w:numPr>
        <w:tabs>
          <w:tab w:val="clear" w:pos="720"/>
          <w:tab w:val="left" w:pos="1800" w:leader="none"/>
        </w:tabs>
        <w:ind w:hanging="360" w:start="1800" w:end="0"/>
        <w:rPr>
          <w:rFonts w:ascii="Century Schoolbook" w:hAnsi="Century Schoolbook" w:cs="Century Schoolbook"/>
          <w:b/>
          <w:sz w:val="24"/>
        </w:rPr>
      </w:pPr>
      <w:r>
        <w:rPr>
          <w:rFonts w:cs="Century Schoolbook" w:ascii="Century Schoolbook" w:hAnsi="Century Schoolbook"/>
          <w:sz w:val="24"/>
        </w:rPr>
        <w:t>SDI:   Busse (possibly Millet and Teets)</w:t>
      </w:r>
    </w:p>
    <w:p>
      <w:pPr>
        <w:pStyle w:val="Normal"/>
        <w:numPr>
          <w:ilvl w:val="0"/>
          <w:numId w:val="27"/>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PW: Peter Marcus</w:t>
      </w:r>
    </w:p>
    <w:p>
      <w:pPr>
        <w:pStyle w:val="Normal"/>
        <w:numPr>
          <w:ilvl w:val="0"/>
          <w:numId w:val="27"/>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Don Barnett, a recognized steel industry expert on retainer to ECT.</w:t>
      </w:r>
    </w:p>
    <w:p>
      <w:pPr>
        <w:pStyle w:val="Normal"/>
        <w:numPr>
          <w:ilvl w:val="0"/>
          <w:numId w:val="27"/>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CEO of Nucor, Correnti.</w:t>
      </w:r>
    </w:p>
    <w:p>
      <w:pPr>
        <w:pStyle w:val="Normal"/>
        <w:numPr>
          <w:ilvl w:val="0"/>
          <w:numId w:val="27"/>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CEO of Qualitech</w:t>
      </w:r>
    </w:p>
    <w:p>
      <w:pPr>
        <w:pStyle w:val="Normal"/>
        <w:numPr>
          <w:ilvl w:val="0"/>
          <w:numId w:val="27"/>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Hatch Associates</w:t>
      </w:r>
    </w:p>
    <w:p>
      <w:pPr>
        <w:pStyle w:val="Normal"/>
        <w:tabs>
          <w:tab w:val="clear" w:pos="720"/>
          <w:tab w:val="left" w:pos="1800" w:leader="none"/>
        </w:tabs>
        <w:ind w:start="2160" w:end="0"/>
        <w:rPr>
          <w:rFonts w:ascii="Century Schoolbook" w:hAnsi="Century Schoolbook" w:cs="Century Schoolbook"/>
          <w:sz w:val="24"/>
        </w:rPr>
      </w:pPr>
      <w:r>
        <w:rPr>
          <w:rFonts w:cs="Century Schoolbook" w:ascii="Century Schoolbook" w:hAnsi="Century Schoolbook"/>
          <w:sz w:val="24"/>
        </w:rPr>
      </w:r>
    </w:p>
    <w:p>
      <w:pPr>
        <w:pStyle w:val="Heading1"/>
        <w:rPr/>
      </w:pPr>
      <w:r>
        <w:rPr/>
        <w:t>NSM Facilities: Planned Ramp-Ups of Hot Mill, DRI and Cold Mill –</w:t>
      </w:r>
    </w:p>
    <w:p>
      <w:pPr>
        <w:pStyle w:val="BodyTextIndent"/>
        <w:rPr/>
      </w:pPr>
      <w:r>
        <w:rPr/>
        <w:t>[a] comparison of projected schedule and results to that achieved by comparable plants, [b] discussions of the reasonableness of the planned schedule and forecasted results with industry experts, [c]  product quality forecasts, [d] experience of plant management in start-ups, and the staff training by Nucor and Hylsa with the possibility of further training assistance by SDI, [e] proposed start-up assistance from Mannesmann and SMS, [f] the Hatch Associates Report, [g] potential key equipment risks based on start-up results at comparable plants, [h] previous NSM start-up results and issues, [I] equipment supply contracts, and [j] an internal sensitivity analysis on the shape of the projected ramp-up curve.</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tabs>
          <w:tab w:val="clear" w:pos="720"/>
          <w:tab w:val="left" w:pos="-360" w:leader="none"/>
        </w:tabs>
        <w:ind w:start="720" w:end="0"/>
        <w:rPr>
          <w:rFonts w:ascii="Century Schoolbook" w:hAnsi="Century Schoolbook" w:cs="Century Schoolbook"/>
          <w:i/>
          <w:i/>
          <w:sz w:val="24"/>
        </w:rPr>
      </w:pPr>
      <w:r>
        <w:rPr>
          <w:rFonts w:cs="Century Schoolbook" w:ascii="Century Schoolbook" w:hAnsi="Century Schoolbook"/>
          <w:i/>
          <w:sz w:val="24"/>
        </w:rPr>
        <w:t>Outside Sources:</w:t>
      </w:r>
    </w:p>
    <w:p>
      <w:pPr>
        <w:pStyle w:val="Normal"/>
        <w:numPr>
          <w:ilvl w:val="0"/>
          <w:numId w:val="1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Brown, Hartman, Landt and Heasley*.</w:t>
      </w:r>
    </w:p>
    <w:p>
      <w:pPr>
        <w:pStyle w:val="Normal"/>
        <w:numPr>
          <w:ilvl w:val="0"/>
          <w:numId w:val="1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numPr>
          <w:ilvl w:val="0"/>
          <w:numId w:val="1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SDI: Busse</w:t>
      </w:r>
    </w:p>
    <w:p>
      <w:pPr>
        <w:pStyle w:val="Normal"/>
        <w:numPr>
          <w:ilvl w:val="0"/>
          <w:numId w:val="1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Hatch Associates</w:t>
      </w:r>
    </w:p>
    <w:p>
      <w:pPr>
        <w:pStyle w:val="Normal"/>
        <w:numPr>
          <w:ilvl w:val="0"/>
          <w:numId w:val="1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PW: Peter Marcus</w:t>
      </w:r>
    </w:p>
    <w:p>
      <w:pPr>
        <w:pStyle w:val="Normal"/>
        <w:numPr>
          <w:ilvl w:val="0"/>
          <w:numId w:val="1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Don Barnett, see above.</w:t>
      </w:r>
    </w:p>
    <w:p>
      <w:pPr>
        <w:pStyle w:val="Normal"/>
        <w:numPr>
          <w:ilvl w:val="0"/>
          <w:numId w:val="1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Correnti, Nucor, both on facilities and staffing.</w:t>
      </w:r>
    </w:p>
    <w:p>
      <w:pPr>
        <w:pStyle w:val="Normal"/>
        <w:numPr>
          <w:ilvl w:val="0"/>
          <w:numId w:val="1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Qualitech's V. P. in charge of its scrap substitute facility.</w:t>
      </w:r>
    </w:p>
    <w:p>
      <w:pPr>
        <w:pStyle w:val="Normal"/>
        <w:tabs>
          <w:tab w:val="clear" w:pos="720"/>
          <w:tab w:val="left" w:pos="1800" w:leader="none"/>
        </w:tabs>
        <w:ind w:start="1440" w:end="0"/>
        <w:rPr>
          <w:rFonts w:ascii="Century Schoolbook" w:hAnsi="Century Schoolbook" w:cs="Century Schoolbook"/>
          <w:sz w:val="24"/>
        </w:rPr>
      </w:pPr>
      <w:r>
        <w:rPr>
          <w:rFonts w:cs="Century Schoolbook" w:ascii="Century Schoolbook" w:hAnsi="Century Schoolbook"/>
          <w:sz w:val="24"/>
        </w:rPr>
      </w:r>
    </w:p>
    <w:p>
      <w:pPr>
        <w:pStyle w:val="Normal"/>
        <w:ind w:hanging="144" w:start="2160" w:end="0"/>
        <w:rPr>
          <w:rFonts w:ascii="Century Schoolbook" w:hAnsi="Century Schoolbook" w:cs="Century Schoolbook"/>
          <w:sz w:val="24"/>
        </w:rPr>
      </w:pPr>
      <w:r>
        <w:rPr>
          <w:rFonts w:cs="Century Schoolbook" w:ascii="Century Schoolbook" w:hAnsi="Century Schoolbook"/>
          <w:sz w:val="24"/>
        </w:rPr>
        <w:t>*</w:t>
        <w:tab/>
        <w:t>During the due diligence period, Heasley was an employee of MCD and the designated Chief Financial Officer of NSM effective on the closing date, and he was viewed by ECT as principally operating in the role of de facto CFO.</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Scrap Supply -</w:t>
      </w:r>
      <w:r>
        <w:rPr>
          <w:rFonts w:cs="Century Schoolbook" w:ascii="Century Schoolbook" w:hAnsi="Century Schoolbook"/>
          <w:sz w:val="24"/>
        </w:rPr>
        <w:t xml:space="preserve"> [a] assessment of the domestic (Thai) scrap market for both availability and quality, [b] affect of the prevailing economic crisis in SE Asia on scrap prices, [c] availability of alternative (import) sources, [d] DRI facility's potential as a physical hedge against rising scrap prices, [e] control of possible pricing risk by using a market-based indexes structure for purchases of scrap from Suntech (a Sawasdi-controlled company), [f] the qualifications and experience of NSM's scrap buyer, [g] the historical prices and cyclically trends of scrap prices and [h] a detailed sensitivity analysis on scrap prices.</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i/>
          <w:i/>
          <w:sz w:val="24"/>
        </w:rPr>
      </w:pPr>
      <w:r>
        <w:rPr>
          <w:rFonts w:cs="Century Schoolbook" w:ascii="Century Schoolbook" w:hAnsi="Century Schoolbook"/>
          <w:i/>
          <w:sz w:val="24"/>
        </w:rPr>
        <w:t>Outside Sources:</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ECT (outside of McConville's team): in-house commodity specialists</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Landt and Heasley</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Omnisource (a scrap recycling dealer): CEO, a Director of SDI</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eastAsia="Century Schoolbook" w:cs="Century Schoolbook" w:ascii="Century Schoolbook" w:hAnsi="Century Schoolbook"/>
          <w:sz w:val="24"/>
        </w:rPr>
        <w:t xml:space="preserve"> </w:t>
      </w:r>
      <w:r>
        <w:rPr>
          <w:rFonts w:cs="Century Schoolbook" w:ascii="Century Schoolbook" w:hAnsi="Century Schoolbook"/>
          <w:b/>
          <w:sz w:val="24"/>
        </w:rPr>
        <w:t xml:space="preserve">End Product Markets </w:t>
      </w:r>
      <w:r>
        <w:rPr>
          <w:rFonts w:cs="Century Schoolbook" w:ascii="Century Schoolbook" w:hAnsi="Century Schoolbook"/>
          <w:sz w:val="24"/>
        </w:rPr>
        <w:t>–</w:t>
      </w:r>
      <w:r>
        <w:rPr>
          <w:rFonts w:cs="Century Schoolbook" w:ascii="Century Schoolbook" w:hAnsi="Century Schoolbook"/>
          <w:b/>
          <w:sz w:val="24"/>
        </w:rPr>
        <w:t xml:space="preserve"> </w:t>
      </w:r>
      <w:r>
        <w:rPr>
          <w:rFonts w:cs="Century Schoolbook" w:ascii="Century Schoolbook" w:hAnsi="Century Schoolbook"/>
          <w:sz w:val="24"/>
        </w:rPr>
        <w:t>[a] NSM's plans for penetrating the local and export markets, [b] review of domestic competitors, [c] staffing of sales organization including commercial assistance from R. Perin, [d] review of the Preusag and Klockner off-take agreements (discussed more fully below), [e] general sales arrangement structures in Thailand and S. E. Asia, [f] SDI marketing assistance, [g] NSM's comparative transportation advantage, [h] analysis of the domestic market for higher-end  finished product, [I] analyses of cyclical pattern in S. E. Asian steel markets, [j] results of meetings held with potential Thai customers, [k] sensitivity analyses on differing volumes, prices and sales mix, [l] impact of changed sales mix on ramp-up results, [m]  projected capacity additions by competitors in Thailand and S. E. Asia, [n] effect of potential trade tariffs in Thailand and S. E. Asia, and [o] quantity and pricing levels in the Thai and S. E. Asian markets, both historical and projected.</w:t>
      </w:r>
    </w:p>
    <w:p>
      <w:pPr>
        <w:pStyle w:val="Normal"/>
        <w:ind w:start="720" w:end="0"/>
        <w:rPr>
          <w:rFonts w:ascii="Century Schoolbook" w:hAnsi="Century Schoolbook" w:cs="Century Schoolbook"/>
          <w:b/>
          <w:i/>
          <w:i/>
          <w:sz w:val="24"/>
        </w:rPr>
      </w:pPr>
      <w:r>
        <w:rPr>
          <w:rFonts w:cs="Century Schoolbook" w:ascii="Century Schoolbook" w:hAnsi="Century Schoolbook"/>
          <w:b/>
          <w:i/>
          <w:sz w:val="24"/>
        </w:rPr>
      </w:r>
    </w:p>
    <w:p>
      <w:pPr>
        <w:pStyle w:val="Normal"/>
        <w:ind w:start="720" w:end="0"/>
        <w:rPr>
          <w:rFonts w:ascii="Century Schoolbook" w:hAnsi="Century Schoolbook" w:cs="Century Schoolbook"/>
          <w:i/>
          <w:i/>
          <w:sz w:val="24"/>
        </w:rPr>
      </w:pPr>
      <w:r>
        <w:rPr>
          <w:rFonts w:cs="Century Schoolbook" w:ascii="Century Schoolbook" w:hAnsi="Century Schoolbook"/>
          <w:i/>
          <w:sz w:val="24"/>
        </w:rPr>
        <w:t>Outside Sources:</w:t>
      </w:r>
    </w:p>
    <w:p>
      <w:pPr>
        <w:pStyle w:val="Normal"/>
        <w:numPr>
          <w:ilvl w:val="0"/>
          <w:numId w:val="2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Sawasdi</w:t>
      </w:r>
    </w:p>
    <w:p>
      <w:pPr>
        <w:pStyle w:val="Normal"/>
        <w:numPr>
          <w:ilvl w:val="0"/>
          <w:numId w:val="2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 xml:space="preserve">NSM: Schultes, Hosick, Perin and Heasley  </w:t>
      </w:r>
    </w:p>
    <w:p>
      <w:pPr>
        <w:pStyle w:val="Normal"/>
        <w:numPr>
          <w:ilvl w:val="0"/>
          <w:numId w:val="2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numPr>
          <w:ilvl w:val="0"/>
          <w:numId w:val="2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PW: Peter Marcus</w:t>
      </w:r>
    </w:p>
    <w:p>
      <w:pPr>
        <w:pStyle w:val="Normal"/>
        <w:numPr>
          <w:ilvl w:val="0"/>
          <w:numId w:val="2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Don Barnett, see above.</w:t>
      </w:r>
    </w:p>
    <w:p>
      <w:pPr>
        <w:pStyle w:val="Normal"/>
        <w:numPr>
          <w:ilvl w:val="0"/>
          <w:numId w:val="2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Resource Associates</w:t>
      </w:r>
    </w:p>
    <w:p>
      <w:pPr>
        <w:pStyle w:val="Normal"/>
        <w:numPr>
          <w:ilvl w:val="0"/>
          <w:numId w:val="2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Representatives from Preussag and Klockner</w:t>
      </w:r>
    </w:p>
    <w:p>
      <w:pPr>
        <w:pStyle w:val="Normal"/>
        <w:numPr>
          <w:ilvl w:val="0"/>
          <w:numId w:val="2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Representatives from local (Thai) steel consumers.</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Internal Accounting and Financial Controls –</w:t>
      </w:r>
      <w:r>
        <w:rPr>
          <w:rFonts w:cs="Century Schoolbook" w:ascii="Century Schoolbook" w:hAnsi="Century Schoolbook"/>
          <w:sz w:val="24"/>
        </w:rPr>
        <w:t xml:space="preserve"> [a] several in-depth discussions regarding the computerized receiving, production, inventory and shipping accounting and control systems and the performance of these systems during the original plant start-up in 1997; [b] discussions with Heasley regarding the type of control system which he set up for Qualitech; [c] discussions with NSM and Heasley regarding controls on related party payments; and [d] requested auditors management letters (ECT was informed that no such letters existed)</w:t>
      </w:r>
    </w:p>
    <w:p>
      <w:pPr>
        <w:pStyle w:val="Normal"/>
        <w:ind w:start="720" w:end="0"/>
        <w:rPr>
          <w:rFonts w:ascii="Century Schoolbook" w:hAnsi="Century Schoolbook" w:cs="Century Schoolbook"/>
          <w:i/>
          <w:i/>
          <w:sz w:val="24"/>
        </w:rPr>
      </w:pPr>
      <w:r>
        <w:rPr>
          <w:rFonts w:cs="Century Schoolbook" w:ascii="Century Schoolbook" w:hAnsi="Century Schoolbook"/>
          <w:i/>
          <w:sz w:val="24"/>
        </w:rPr>
      </w:r>
    </w:p>
    <w:p>
      <w:pPr>
        <w:pStyle w:val="Normal"/>
        <w:ind w:start="720" w:end="0"/>
        <w:rPr>
          <w:rFonts w:ascii="Century Schoolbook" w:hAnsi="Century Schoolbook" w:cs="Century Schoolbook"/>
          <w:sz w:val="24"/>
        </w:rPr>
      </w:pPr>
      <w:r>
        <w:rPr>
          <w:rFonts w:cs="Century Schoolbook" w:ascii="Century Schoolbook" w:hAnsi="Century Schoolbook"/>
          <w:i/>
          <w:sz w:val="24"/>
        </w:rPr>
        <w:t xml:space="preserve">Outside Sources: </w:t>
      </w:r>
    </w:p>
    <w:p>
      <w:pPr>
        <w:pStyle w:val="Normal"/>
        <w:numPr>
          <w:ilvl w:val="0"/>
          <w:numId w:val="26"/>
        </w:numPr>
        <w:tabs>
          <w:tab w:val="clear" w:pos="720"/>
          <w:tab w:val="left" w:pos="1800" w:leader="none"/>
        </w:tabs>
        <w:ind w:hanging="360" w:start="1800" w:end="0"/>
        <w:rPr>
          <w:rFonts w:ascii="Century Schoolbook" w:hAnsi="Century Schoolbook" w:cs="Century Schoolbook"/>
          <w:b/>
          <w:sz w:val="24"/>
        </w:rPr>
      </w:pPr>
      <w:r>
        <w:rPr>
          <w:rFonts w:cs="Century Schoolbook" w:ascii="Century Schoolbook" w:hAnsi="Century Schoolbook"/>
          <w:sz w:val="24"/>
        </w:rPr>
        <w:t>NSM: Schultes and Heasley</w:t>
      </w:r>
    </w:p>
    <w:p>
      <w:pPr>
        <w:pStyle w:val="Normal"/>
        <w:numPr>
          <w:ilvl w:val="0"/>
          <w:numId w:val="26"/>
        </w:numPr>
        <w:tabs>
          <w:tab w:val="clear" w:pos="720"/>
          <w:tab w:val="left" w:pos="1800" w:leader="none"/>
        </w:tabs>
        <w:ind w:hanging="360" w:start="1800" w:end="0"/>
        <w:rPr>
          <w:rFonts w:ascii="Century Schoolbook" w:hAnsi="Century Schoolbook" w:cs="Century Schoolbook"/>
          <w:b/>
          <w:sz w:val="24"/>
        </w:rPr>
      </w:pPr>
      <w:r>
        <w:rPr>
          <w:rFonts w:cs="Century Schoolbook" w:ascii="Century Schoolbook" w:hAnsi="Century Schoolbook"/>
          <w:sz w:val="24"/>
        </w:rPr>
        <w:t>MCD: Stickler (and Heasley)</w:t>
      </w:r>
    </w:p>
    <w:p>
      <w:pPr>
        <w:pStyle w:val="Normal"/>
        <w:ind w:start="720" w:end="0"/>
        <w:rPr>
          <w:rFonts w:ascii="Century Schoolbook" w:hAnsi="Century Schoolbook" w:cs="Century Schoolbook"/>
          <w:b/>
          <w:sz w:val="24"/>
        </w:rPr>
      </w:pPr>
      <w:r>
        <w:rPr>
          <w:rFonts w:cs="Century Schoolbook" w:ascii="Century Schoolbook" w:hAnsi="Century Schoolbook"/>
          <w:b/>
          <w:sz w:val="24"/>
        </w:rPr>
      </w:r>
    </w:p>
    <w:p>
      <w:pPr>
        <w:pStyle w:val="Normal"/>
        <w:ind w:start="720" w:end="0"/>
        <w:rPr/>
      </w:pPr>
      <w:r>
        <w:rPr>
          <w:rFonts w:cs="Century Schoolbook" w:ascii="Century Schoolbook" w:hAnsi="Century Schoolbook"/>
          <w:b/>
          <w:sz w:val="24"/>
        </w:rPr>
        <w:t xml:space="preserve">Financial Projections - </w:t>
      </w:r>
      <w:r>
        <w:rPr>
          <w:rFonts w:cs="Century Schoolbook" w:ascii="Century Schoolbook" w:hAnsi="Century Schoolbook"/>
          <w:sz w:val="24"/>
        </w:rPr>
        <w:t>[a] detailed analysis of the underlying assumptions, calculations and formulas contained in the McDonald &amp; Co.-prepared financial model with a resulting request for certain adaptations to allow ECT-inputted changes in the variables, [b] extensive comparative review of NSM's projected [1] direct manufacturing costs by product category and [2] electricity and gas costs, [c] raw material procurement plans, supply availability of key commodities, contractual relationships with suppliers and proposed terms of the commodity contracts, [d] stability of labor rates and supply, [e] determined baht/USD cost structure mix for key raw materials, [f] component analysis and comparison of SG&amp;A expenses, [g] review of the tax holiday components, [h] incorporated loan covenant ratios in the model, [I] analyzed projected working capital changes against a number of economic and industry factors, [j] comparative analysis of projected capital expenditures, [k] examination of the details underlying the flow of funds to NSM's projected opening balance sheet from the offering proceeds, [l] discussions and review of projected sources and uses at closing (more fully discussed below), and [m] created a proprietary, highly sophisticated financial model that allowed an infinite array of sensitivity analyses wherein each variable input item could be altered both singularly or with all variables independently altered and arrayed through thousands of iterations using, among other things, twenty-year historical commodity pricing data  to determine critical sensitivities to prices, volumes and sales mix.</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i/>
          <w:sz w:val="24"/>
        </w:rPr>
        <w:t>Outside Sources:</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Brown, Hartman, Landt, and Heasley</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Peter Marcus, PW</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Resource Strategies</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Don Barnett, see above</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SDI: Busse</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Banks: Thai banks and BNP</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Related Party Transactions -</w:t>
      </w:r>
      <w:r>
        <w:rPr>
          <w:rFonts w:cs="Century Schoolbook" w:ascii="Century Schoolbook" w:hAnsi="Century Schoolbook"/>
          <w:sz w:val="24"/>
        </w:rPr>
        <w:t xml:space="preserve"> [a] ECT' security department conducted background checks on Sawasdi, [b] made direct inquiry as to whether any related parties were to receive payments at closing, [c] reviewed proposed amounts of payments to equipment vendors and other suppliers to be paid from the proceeds at closing, [d] discussed treatment of $50 million inter-company receivable, [e] see "e" in "Scrap Supply" above, [f] discussed with NSM the requirement for effective controls and suggested methodologies to eliminate transactions with affiliates, [g] made repeated inquiries to gain assurances on this matter, [h] reviewed the Management Agreement and participated in discussions regarding its purpose and proposed operation.</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i/>
          <w:sz w:val="24"/>
        </w:rPr>
        <w:t>Outside Sources:</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 xml:space="preserve">ECT (outside McConville's team): Legal Department and Security Department </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Sawasdi</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and Heasley</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Management and Key Personnel -</w:t>
      </w:r>
      <w:r>
        <w:rPr>
          <w:rFonts w:cs="Century Schoolbook" w:ascii="Century Schoolbook" w:hAnsi="Century Schoolbook"/>
          <w:sz w:val="24"/>
        </w:rPr>
        <w:t xml:space="preserve"> [a] reviewed the backgrounds of senior management, [b] met on many occasions with Schultes and Heasley, [c] discussed with Nucor and SDI the qualifications and competency of Schultes, [d] conducted third-party background check on Schultes, [e] met with at least ten members of NSM's senior group in Thailand, [f] extensive meetings and discussions with Heasley, the CFO-designate.</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Heading2"/>
        <w:spacing w:lineRule="auto" w:line="240"/>
        <w:ind w:hanging="0" w:start="0"/>
        <w:rPr/>
      </w:pPr>
      <w:r>
        <w:rPr>
          <w:b w:val="false"/>
          <w:u w:val="none"/>
        </w:rPr>
        <w:tab/>
      </w:r>
      <w:r>
        <w:rPr>
          <w:b w:val="false"/>
          <w:i/>
          <w:u w:val="none"/>
        </w:rPr>
        <w:t>Outside Sources:</w:t>
      </w:r>
    </w:p>
    <w:p>
      <w:pPr>
        <w:pStyle w:val="Normal"/>
        <w:numPr>
          <w:ilvl w:val="0"/>
          <w:numId w:val="16"/>
        </w:numPr>
        <w:tabs>
          <w:tab w:val="clear" w:pos="720"/>
          <w:tab w:val="left" w:pos="1800" w:leader="none"/>
        </w:tabs>
        <w:ind w:hanging="360" w:start="1800" w:end="0"/>
        <w:rPr/>
      </w:pPr>
      <w:r>
        <w:rPr/>
        <w:t>SDI: Busse</w:t>
      </w:r>
    </w:p>
    <w:p>
      <w:pPr>
        <w:pStyle w:val="Normal"/>
        <w:numPr>
          <w:ilvl w:val="0"/>
          <w:numId w:val="16"/>
        </w:numPr>
        <w:tabs>
          <w:tab w:val="clear" w:pos="720"/>
          <w:tab w:val="left" w:pos="1800" w:leader="none"/>
        </w:tabs>
        <w:ind w:hanging="360" w:start="1800" w:end="0"/>
        <w:rPr/>
      </w:pPr>
      <w:r>
        <w:rPr/>
        <w:t>Qualitech: CEO</w:t>
      </w:r>
    </w:p>
    <w:p>
      <w:pPr>
        <w:pStyle w:val="Normal"/>
        <w:rPr/>
      </w:pPr>
      <w:r>
        <w:rPr/>
      </w:r>
    </w:p>
    <w:p>
      <w:pPr>
        <w:pStyle w:val="Heading2"/>
        <w:ind w:hanging="0" w:start="0"/>
        <w:rPr>
          <w:u w:val="none"/>
        </w:rPr>
      </w:pPr>
      <w:r>
        <w:rPr>
          <w:u w:val="none"/>
        </w:rPr>
        <w:t>C. Attention to Identifiable Critical Issues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In addition to a comprehensive review of due diligence matters, ECT identified two issues at the outset which seemed critical to the transaction's success and, through its own efforts and its reliance on deemed experts, it paid special attention to these matters:</w:t>
      </w:r>
    </w:p>
    <w:p>
      <w:pPr>
        <w:pStyle w:val="Normal"/>
        <w:ind w:start="720" w:end="0"/>
        <w:rPr/>
      </w:pPr>
      <w:r>
        <w:rPr>
          <w:rFonts w:cs="Century Schoolbook" w:ascii="Century Schoolbook" w:hAnsi="Century Schoolbook"/>
          <w:b/>
          <w:sz w:val="24"/>
        </w:rPr>
        <w:t>Related Party Transactions</w:t>
      </w:r>
      <w:r>
        <w:rPr>
          <w:rFonts w:cs="Century Schoolbook" w:ascii="Century Schoolbook" w:hAnsi="Century Schoolbook"/>
          <w:sz w:val="24"/>
        </w:rPr>
        <w:t xml:space="preserve"> - ECT's basic business involves a substantial amount of business and financial transactions in S. E. Asia.  From the beginnings of its involvement with the NSM transaction, ECT was alert to the risk of related party transactions which are common to many business dealings in that region.  McConville repeatedly and adamantly instructed the team to get assurances that no such transactions would take place.  ECT discussed this issue directly with Sawasdi, at least once, and with Heasley, Schultes and Stickler on many occasions.  Specifically, ECT discussed with Heasley certain financial controls that were "already in place" to prevent such things as abuse in overpayment to suppliers or other mechanisms where unwanted payments otherwise could be made.  In their discussions, Heasley was impressive in his detailed understanding of the type and mechanics of the controls needed.  </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sz w:val="24"/>
        </w:rPr>
        <w:t>With regard to the undisclosed fees paid at the Closing, which ECT only learned of six months after the closing, ECT had several discussions with Schultes, Stickler and Heasley up to the time of offering regarding the Sources and Uses projections, including its sub-categories, and no related party payments or fees were shown on these schedules.  In ECT's counsel's written review of closing issues (Exhibit 1974, page 2), it is noted that employment agreements with NSM's Chairman, Vice Chairman and President are called-for, but no such agreements have been seen by ECT or counsel (notwithstanding the 2/14/98 execution of these agreements).  Very important, ECT relied on the planned corporate structure whereby NSM (through the Management Agreement between NSM and the Management Company) ceded to the newly created Management Company (of which ECT was a member) the authority to control all cash receipts disbursements and other significant matters and gave it the authority to select NSM's independent auditors.  This entity was created specifically, in part, to prevent unwanted payments and fees to related parties.  Its rights and powers as specified in the Management Agreement between NSM and the Management Company included among other things (Exhibit 85):</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to receive and disburse all cash,</w:t>
      </w:r>
    </w:p>
    <w:p>
      <w:pPr>
        <w:pStyle w:val="Normal"/>
        <w:numPr>
          <w:ilvl w:val="0"/>
          <w:numId w:val="2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to hire and [cause NSM to] terminate employees,</w:t>
      </w:r>
    </w:p>
    <w:p>
      <w:pPr>
        <w:pStyle w:val="Normal"/>
        <w:numPr>
          <w:ilvl w:val="0"/>
          <w:numId w:val="2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cause the appointment of an independent auditor,</w:t>
      </w:r>
    </w:p>
    <w:p>
      <w:pPr>
        <w:pStyle w:val="Normal"/>
        <w:numPr>
          <w:ilvl w:val="0"/>
          <w:numId w:val="2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develop, maintain and monitor income and expense budgets for NSM, and</w:t>
      </w:r>
    </w:p>
    <w:p>
      <w:pPr>
        <w:pStyle w:val="Normal"/>
        <w:numPr>
          <w:ilvl w:val="0"/>
          <w:numId w:val="2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implement and enforce proper controls over cash receipts and disbursements, including limitations on check-signing authority.</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sz w:val="24"/>
        </w:rPr>
        <w:t xml:space="preserve">Likewise, the Shareholders Agreement (ECT/NSM 2858-2883) which established NSM's Board of Directors specifically provided any related party transaction effectively be approved by the Management Company or a majority NSM's Directors which must include at least two of the MCD, SDI and ECT Directors in the majority.  In ECT's opinion, the powers and responsibilities of the Management Company and the related party provisions of the Shareholders Agreement appeared entirely adequate to prevent such payments.  </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 xml:space="preserve">Facilities Design and Readiness - </w:t>
      </w:r>
      <w:r>
        <w:rPr>
          <w:rFonts w:cs="Century Schoolbook" w:ascii="Century Schoolbook" w:hAnsi="Century Schoolbook"/>
          <w:sz w:val="24"/>
        </w:rPr>
        <w:t xml:space="preserve">ECT was impressed with its October 1997 tour of NSM's mill and related facilities and, as well, with the experience of the management.  Schultes (President) Brown (Manager of Hot Rolling and Finishing) and Landt, (Manager of DRI, Steelmaking and Casting) stated that construction was progressing smoothly.  ECT knew enough about financing start-ups and little enough about mini-mills that it knew it must rely on the expertise and judgment of experts to confirm what it was being told by Schultes, Stickler, Heasley and NSM's staff about the quality of the equipment and design of the mill.  After the plant visit, ECT continued to have discussions with NSM, MCD, Marcus, Barnett, SDI, and Nucor regarding various aspects of design, readiness, forecasted ramp-up, individual equipment items and scrap availability.  The mill itself, while state-of-the-art, did not involve any new untried technology.  It was similar in many ways to SDI's Butler IN plant and Nucor's Berkely SC plant.  There was little reason to suspect that so many experts, internal [NSM] and external, would fail to see large design flaws, if any.   At no point did ECT have any reason to suspect bias, deceit, incompetence or gross misjudgment on the part of NSM, MCD, SDI, PW, Nucor or any of the other consultants or experts it contacted.  The favorable mill appraisal reports received from Schultes and Stickler were supported through a number of highly regarded sources, as shown in the above "Facilities" sections.  Importantly, </w:t>
      </w:r>
      <w:r>
        <w:rPr>
          <w:rFonts w:cs="Century Schoolbook" w:ascii="Century Schoolbook" w:hAnsi="Century Schoolbook"/>
          <w:sz w:val="24"/>
          <w:u w:val="single"/>
        </w:rPr>
        <w:t>no one</w:t>
      </w:r>
      <w:r>
        <w:rPr>
          <w:rFonts w:cs="Century Schoolbook" w:ascii="Century Schoolbook" w:hAnsi="Century Schoolbook"/>
          <w:sz w:val="24"/>
        </w:rPr>
        <w:t xml:space="preserve"> expressed reservations:  </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8"/>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 xml:space="preserve">The CEO of Nucor, which was training NSM's staff as late as October 1997, stated to ECT that he considered NSM to be a "world class facility".  </w:t>
      </w:r>
    </w:p>
    <w:p>
      <w:pPr>
        <w:pStyle w:val="Normal"/>
        <w:rPr>
          <w:rFonts w:ascii="Century Schoolbook" w:hAnsi="Century Schoolbook" w:eastAsia="Century Schoolbook" w:cs="Century Schoolbook"/>
          <w:sz w:val="24"/>
        </w:rPr>
      </w:pPr>
      <w:r>
        <w:rPr>
          <w:rFonts w:eastAsia="Century Schoolbook" w:cs="Century Schoolbook" w:ascii="Century Schoolbook" w:hAnsi="Century Schoolbook"/>
          <w:sz w:val="24"/>
        </w:rPr>
        <w:t xml:space="preserve"> </w:t>
      </w:r>
    </w:p>
    <w:p>
      <w:pPr>
        <w:pStyle w:val="Normal"/>
        <w:numPr>
          <w:ilvl w:val="0"/>
          <w:numId w:val="8"/>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Peter Marcus, one of the leading steel company experts on Wall Street and Principal in World Steel Dynamics, prepared a highly specific PW report (an Attachment to the Complaint)</w:t>
      </w:r>
      <w:r>
        <w:rPr>
          <w:rFonts w:cs="Century Schoolbook" w:ascii="Century Schoolbook" w:hAnsi="Century Schoolbook"/>
          <w:b/>
          <w:sz w:val="24"/>
        </w:rPr>
        <w:t xml:space="preserve"> </w:t>
      </w:r>
      <w:r>
        <w:rPr>
          <w:rFonts w:cs="Century Schoolbook" w:ascii="Century Schoolbook" w:hAnsi="Century Schoolbook"/>
          <w:sz w:val="24"/>
        </w:rPr>
        <w:t>as to the quality and design of the NSM mill:</w:t>
      </w:r>
    </w:p>
    <w:p>
      <w:pPr>
        <w:pStyle w:val="Normal"/>
        <w:rPr>
          <w:rFonts w:ascii="Century Schoolbook" w:hAnsi="Century Schoolbook" w:cs="Century Schoolbook"/>
          <w:sz w:val="24"/>
        </w:rPr>
      </w:pPr>
      <w:r>
        <w:rPr>
          <w:rFonts w:cs="Century Schoolbook" w:ascii="Century Schoolbook" w:hAnsi="Century Schoolbook"/>
          <w:sz w:val="24"/>
        </w:rPr>
      </w:r>
    </w:p>
    <w:p>
      <w:pPr>
        <w:pStyle w:val="BodyTextIndent3"/>
        <w:ind w:start="1440" w:end="0"/>
        <w:rPr/>
      </w:pPr>
      <w:r>
        <w:rPr/>
        <w:t>"There should be no sizable construction delays and/or capital cost overruns in the Phase 1 facilities since the plant is 98% complete…We expect smooth operation of the plant, including only moderate start-up costs, based on the outstanding equipment that is in place…"</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BodyTextIndent2"/>
        <w:spacing w:lineRule="auto" w:line="240"/>
        <w:rPr/>
      </w:pPr>
      <w:r>
        <w:rPr>
          <w:rFonts w:eastAsia="Century Schoolbook"/>
        </w:rPr>
        <w:t xml:space="preserve">     </w:t>
      </w:r>
      <w:r>
        <w:rPr/>
        <w:t>Among the comments he listed as "Pros" for the project were:</w:t>
      </w:r>
    </w:p>
    <w:p>
      <w:pPr>
        <w:pStyle w:val="BodyTextIndent2"/>
        <w:spacing w:lineRule="auto" w:line="240"/>
        <w:rPr/>
      </w:pPr>
      <w:r>
        <w:rPr/>
      </w:r>
    </w:p>
    <w:p>
      <w:pPr>
        <w:pStyle w:val="BodyTextIndent"/>
        <w:ind w:start="1440" w:end="0"/>
        <w:rPr/>
      </w:pPr>
      <w:r>
        <w:rPr/>
        <w:t>"The combination of equipment at the plant is extraordinary.  It is configured to make the highest quality flat-rolled steel products."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"The vendors of the equipment are the leading equipment suppliers in the world."</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"John Schultes and his management group are highly qualified in our opinion.  The plant will be managed by about 40 expatriates with strong backgrounds in their sectors."</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"The labor force is carefully selected.  More than 200 workers have…received training at various Nucor plants and at Hylsamex's highly successful … unit…"</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"Nucor has evaluated the equipment, the facility and the work force, and has entered into a management contract…"  (Nucor later terminated the contract for non-payment of fees owing.)</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996" w:end="0"/>
        <w:rPr>
          <w:rFonts w:ascii="Century Schoolbook" w:hAnsi="Century Schoolbook" w:cs="Century Schoolbook"/>
          <w:sz w:val="24"/>
        </w:rPr>
      </w:pPr>
      <w:r>
        <w:rPr>
          <w:rFonts w:cs="Century Schoolbook" w:ascii="Century Schoolbook" w:hAnsi="Century Schoolbook"/>
          <w:sz w:val="24"/>
        </w:rPr>
        <w:t>Of the 18 comments listed under "Cons", not one expressed any reservation          about the quality of equipment or the design of the facilities.  One cited:</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"The construction time has been more than planned.  …   (but) still faster than (a comparable mill)."</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3"/>
        </w:numPr>
        <w:tabs>
          <w:tab w:val="clear" w:pos="720"/>
          <w:tab w:val="left" w:pos="1080" w:leader="none"/>
        </w:tabs>
        <w:ind w:hanging="360" w:start="1080" w:end="0"/>
        <w:rPr>
          <w:rFonts w:ascii="Century Schoolbook" w:hAnsi="Century Schoolbook" w:cs="Century Schoolbook"/>
          <w:b/>
          <w:sz w:val="24"/>
        </w:rPr>
      </w:pPr>
      <w:r>
        <w:rPr>
          <w:rFonts w:cs="Century Schoolbook" w:ascii="Century Schoolbook" w:hAnsi="Century Schoolbook"/>
          <w:sz w:val="24"/>
        </w:rPr>
        <w:t>Don Barnett, a recognized expert in the industry, who was on retainer to ECT both for his operational expertise regarding steel mill production and his historical technical data of mill operations by facility, discussed with ECT the ramp-up schedules and equipment capabilities.</w:t>
      </w:r>
    </w:p>
    <w:p>
      <w:pPr>
        <w:pStyle w:val="Normal"/>
        <w:rPr>
          <w:rFonts w:ascii="Century Schoolbook" w:hAnsi="Century Schoolbook" w:cs="Century Schoolbook"/>
          <w:b/>
          <w:sz w:val="24"/>
        </w:rPr>
      </w:pPr>
      <w:r>
        <w:rPr>
          <w:rFonts w:cs="Century Schoolbook" w:ascii="Century Schoolbook" w:hAnsi="Century Schoolbook"/>
          <w:b/>
          <w:sz w:val="24"/>
        </w:rPr>
      </w:r>
    </w:p>
    <w:p>
      <w:pPr>
        <w:pStyle w:val="Normal"/>
        <w:numPr>
          <w:ilvl w:val="0"/>
          <w:numId w:val="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 xml:space="preserve">SDI was acknowledged as, next to Nucor, the best possible technical advisor to NSM in the world.  No one disputed its corporate reputation, technical achievement and successful operations.  ECT was well acquainted with SDI prior to the NSM transaction through mutual discussions about various business projects and, as well, ECT had extended a $10 million loan to SDI as part of a larger SDI credit facility. SDI's CEO, Keith Busse, and the senior staff were regarded as competent and highly knowledgeable about all aspects of mini-mill design and operations.  ECT placed great reliance on SDI's assessment of NSM.  Everything that ECT heard about the NSM mill from SDI was favorable.  McConville and Busse served as directors of  Qualitech (a mini-mill operation in which both SDI and ECT were investors) and enjoyed a good personal and working relationship.  During their conversations,  Busse stated that the NSM facilities were "A+" (as he did on the road show).  Given McConville's relationship with Busse, the corporate (lending) relation between ECT and SDI, the future role of SDI in advising NSM, and SDI's equity stake in the future success of the operations, there was nothing which would make ECT want to disbelieve or disregard the SDI assessments.  McConville had numerous conversations with Busse relating to NSM throughout the entire Offering period.  At all times, Busse expressed a favorable, if not highly favorable, assessment of the NSM project.  (Although ECT relied greatly on Busse's evaluations, wherever possible, ECT sought confirmation of his evaluations from other parties, like Marcus, Barnett, the CEO and the VP of Qualitech, Hatch Associates, and Correnti, Nucor's CEO) </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Hatch Associates in its published report contained in the Offering Memorandum concluded that NSM's projected results of operations were "very realistic".  This assessment included the amount of forecasted 1998 tonnage.  Importantly, their assessment of NSM followed a late October 1997 site visit which should have enabled them to detect any delays in scheduled completion.</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Qualitech's Chairman, who visited NSM's facilities, was favorably impressed with the design and had detailed favorable comments about the DRI unit.</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BodyText"/>
        <w:spacing w:lineRule="auto" w:line="240"/>
        <w:ind w:firstLine="360" w:start="360" w:end="0"/>
        <w:rPr/>
      </w:pPr>
      <w:r>
        <w:rPr/>
        <w:t>With regard to the mill's readiness or state of completion, Heasley, Stickler (who apparently was in Thailand a good amount during this period) and Schultes informed ECT of the mill's completion and that the December 1997 test runs from the mill showed better quality and performance that those of similar facilities.  There was no reason for ECT to suspect otherwise.  At the time of its tour of NSM's facilities, ECT was informed by Schultes and NSM's senior managers that the construction was on schedule.  Following ECT's October visit, SDI's staff examined NSM's facilities in January 1998 and did not report or otherwise indicate to ECT that the NSM mill was poorly designed or that the construction program was well off its schedule</w:t>
      </w:r>
      <w:r>
        <w:rPr>
          <w:b/>
        </w:rPr>
        <w:t xml:space="preserve"> </w:t>
      </w:r>
      <w:r>
        <w:rPr/>
        <w:t>even after direct inquiry to Busse by McConville.  And at no time, prior to closing was ECT informed by Schultes, who was in the US on many occasions, or Stickler or Heasley of  material delays or construction problems.  ECT believed the state of completion was as described in the Offering Memorandum, and certainly not being expert in steel mill construction, there was no purpose in ECT itself re-visiting the mill.</w:t>
      </w:r>
    </w:p>
    <w:p>
      <w:pPr>
        <w:pStyle w:val="BodyText"/>
        <w:spacing w:lineRule="auto" w:line="240"/>
        <w:ind w:firstLine="360" w:start="360" w:end="0"/>
        <w:rPr/>
      </w:pPr>
      <w:r>
        <w:rPr/>
      </w:r>
    </w:p>
    <w:p>
      <w:pPr>
        <w:pStyle w:val="BodyText"/>
        <w:spacing w:lineRule="auto" w:line="240"/>
        <w:rPr>
          <w:b/>
          <w:u w:val="single"/>
        </w:rPr>
      </w:pPr>
      <w:r>
        <w:rPr>
          <w:b/>
          <w:u w:val="single"/>
        </w:rPr>
      </w:r>
    </w:p>
    <w:p>
      <w:pPr>
        <w:pStyle w:val="BodyText"/>
        <w:spacing w:lineRule="auto" w:line="240"/>
        <w:rPr>
          <w:b/>
          <w:u w:val="single"/>
        </w:rPr>
      </w:pPr>
      <w:r>
        <w:rPr>
          <w:b/>
          <w:u w:val="single"/>
        </w:rPr>
      </w:r>
    </w:p>
    <w:p>
      <w:pPr>
        <w:pStyle w:val="BodyText"/>
        <w:spacing w:lineRule="auto" w:line="240"/>
        <w:jc w:val="center"/>
        <w:rPr>
          <w:b/>
          <w:i/>
          <w:i/>
          <w:u w:val="single"/>
        </w:rPr>
      </w:pPr>
      <w:r>
        <w:rPr>
          <w:b/>
          <w:i/>
          <w:u w:val="single"/>
        </w:rPr>
        <w:t>Role of ECT as Co-Manager and Investor</w:t>
      </w:r>
    </w:p>
    <w:p>
      <w:pPr>
        <w:pStyle w:val="BodyText"/>
        <w:spacing w:lineRule="auto" w:line="240"/>
        <w:rPr>
          <w:b/>
          <w:i/>
          <w:i/>
          <w:u w:val="single"/>
        </w:rPr>
      </w:pPr>
      <w:r>
        <w:rPr>
          <w:b/>
          <w:i/>
          <w:u w:val="single"/>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ECT first became involved with NSM as a result of an interest in investing in the overall project and an interest in building a 45MW co-generation plant at the site of NSM's to-be-built DRI facility.  Later ECT became interested in becoming a placement agent in the offering.  The NSM project was introduced to ECT through Stickler of MCD, who was a retained financial advisor to NSM and had worked with ECT in a prior financing transaction involving Qualitech, another steel mini-mill operation, in which SDI also was an investor and shared a board seat with ECT.</w:t>
      </w:r>
    </w:p>
    <w:p>
      <w:pPr>
        <w:pStyle w:val="Normal"/>
        <w:spacing w:lineRule="auto" w:line="480"/>
        <w:ind w:firstLine="360" w:end="0"/>
        <w:rPr>
          <w:rFonts w:ascii="Century Schoolbook" w:hAnsi="Century Schoolbook" w:cs="Century Schoolbook"/>
          <w:sz w:val="24"/>
        </w:rPr>
      </w:pPr>
      <w:r>
        <w:rPr>
          <w:rFonts w:cs="Century Schoolbook" w:ascii="Century Schoolbook" w:hAnsi="Century Schoolbook"/>
          <w:sz w:val="24"/>
        </w:rPr>
        <w:t>ECT recognized its due diligence responsibilities as a placement agent, but, as well, the individual team members and ECT placed added responsibilities upon themselves due to ECT's prospective substantial investment in this financing.  At the closing of the Offering, units of Enron (other than ECT Securities Corp.) invested the following approximate sums:</w:t>
      </w:r>
    </w:p>
    <w:p>
      <w:pPr>
        <w:pStyle w:val="Normal"/>
        <w:rPr/>
      </w:pPr>
      <w:r>
        <w:rPr>
          <w:rFonts w:cs="Century Schoolbook" w:ascii="Century Schoolbook" w:hAnsi="Century Schoolbook"/>
          <w:b/>
          <w:sz w:val="24"/>
        </w:rPr>
        <w:tab/>
      </w:r>
      <w:r>
        <w:rPr>
          <w:rFonts w:cs="Century Schoolbook" w:ascii="Century Schoolbook" w:hAnsi="Century Schoolbook"/>
          <w:b/>
          <w:sz w:val="24"/>
          <w:u w:val="single"/>
        </w:rPr>
        <w:t xml:space="preserve">   </w:t>
      </w:r>
      <w:r>
        <w:rPr>
          <w:rFonts w:cs="Century Schoolbook" w:ascii="Century Schoolbook" w:hAnsi="Century Schoolbook"/>
          <w:sz w:val="24"/>
          <w:u w:val="single"/>
        </w:rPr>
        <w:t>Amount</w:t>
        <w:tab/>
      </w:r>
      <w:r>
        <w:rPr>
          <w:rFonts w:cs="Century Schoolbook" w:ascii="Century Schoolbook" w:hAnsi="Century Schoolbook"/>
          <w:b/>
          <w:sz w:val="24"/>
        </w:rPr>
        <w:tab/>
      </w:r>
      <w:r>
        <w:rPr>
          <w:rFonts w:cs="Century Schoolbook" w:ascii="Century Schoolbook" w:hAnsi="Century Schoolbook"/>
          <w:sz w:val="24"/>
          <w:u w:val="single"/>
        </w:rPr>
        <w:t xml:space="preserve">               </w:t>
        <w:tab/>
        <w:t xml:space="preserve">   Security</w:t>
        <w:tab/>
        <w:tab/>
        <w:tab/>
        <w:tab/>
      </w:r>
    </w:p>
    <w:p>
      <w:pPr>
        <w:pStyle w:val="Normal"/>
        <w:ind w:firstLine="360" w:end="0"/>
        <w:rPr/>
      </w:pPr>
      <w:r>
        <w:rPr>
          <w:rFonts w:eastAsia="Century Schoolbook" w:cs="Century Schoolbook" w:ascii="Century Schoolbook" w:hAnsi="Century Schoolbook"/>
          <w:b/>
          <w:sz w:val="24"/>
        </w:rPr>
        <w:t xml:space="preserve">     </w:t>
      </w:r>
      <w:r>
        <w:rPr>
          <w:rFonts w:cs="Century Schoolbook" w:ascii="Century Schoolbook" w:hAnsi="Century Schoolbook"/>
          <w:sz w:val="24"/>
        </w:rPr>
        <w:t xml:space="preserve">$  0  </w:t>
        <w:tab/>
        <w:tab/>
        <w:tab/>
        <w:t xml:space="preserve">12% Senior Mortgage Notes </w:t>
      </w:r>
    </w:p>
    <w:p>
      <w:pPr>
        <w:pStyle w:val="Normal"/>
        <w:rPr>
          <w:rFonts w:ascii="Century Schoolbook" w:hAnsi="Century Schoolbook" w:cs="Century Schoolbook"/>
          <w:sz w:val="24"/>
        </w:rPr>
      </w:pPr>
      <w:r>
        <w:rPr>
          <w:rFonts w:cs="Century Schoolbook" w:ascii="Century Schoolbook" w:hAnsi="Century Schoolbook"/>
          <w:sz w:val="24"/>
        </w:rPr>
        <w:tab/>
        <w:t xml:space="preserve">  10 million</w:t>
        <w:tab/>
        <w:tab/>
        <w:t>12.25% Sr. Sub. Mortgage Notes with Warrants</w:t>
      </w:r>
    </w:p>
    <w:p>
      <w:pPr>
        <w:pStyle w:val="Normal"/>
        <w:rPr>
          <w:rFonts w:ascii="Century Schoolbook" w:hAnsi="Century Schoolbook" w:cs="Century Schoolbook"/>
          <w:sz w:val="24"/>
        </w:rPr>
      </w:pPr>
      <w:r>
        <w:rPr>
          <w:rFonts w:cs="Century Schoolbook" w:ascii="Century Schoolbook" w:hAnsi="Century Schoolbook"/>
          <w:sz w:val="24"/>
        </w:rPr>
        <w:tab/>
        <w:t xml:space="preserve">  10      "        </w:t>
        <w:tab/>
        <w:tab/>
        <w:t>Debentures and Common Stock</w:t>
      </w:r>
    </w:p>
    <w:p>
      <w:pPr>
        <w:pStyle w:val="Normal"/>
        <w:rPr/>
      </w:pPr>
      <w:r>
        <w:rPr>
          <w:rFonts w:cs="Century Schoolbook" w:ascii="Century Schoolbook" w:hAnsi="Century Schoolbook"/>
          <w:sz w:val="24"/>
        </w:rPr>
        <w:tab/>
        <w:t xml:space="preserve">  </w:t>
      </w:r>
      <w:r>
        <w:rPr>
          <w:rFonts w:cs="Century Schoolbook" w:ascii="Century Schoolbook" w:hAnsi="Century Schoolbook"/>
          <w:sz w:val="24"/>
          <w:u w:val="single"/>
        </w:rPr>
        <w:t xml:space="preserve">10      "     </w:t>
      </w:r>
      <w:r>
        <w:rPr>
          <w:rFonts w:cs="Century Schoolbook" w:ascii="Century Schoolbook" w:hAnsi="Century Schoolbook"/>
          <w:sz w:val="24"/>
        </w:rPr>
        <w:t xml:space="preserve"> </w:t>
        <w:tab/>
        <w:tab/>
        <w:t>Common stock</w:t>
      </w:r>
    </w:p>
    <w:p>
      <w:pPr>
        <w:pStyle w:val="Normal"/>
        <w:ind w:firstLine="720" w:end="0"/>
        <w:rPr/>
      </w:pPr>
      <w:r>
        <w:rPr>
          <w:rFonts w:cs="Century Schoolbook" w:ascii="Century Schoolbook" w:hAnsi="Century Schoolbook"/>
          <w:sz w:val="24"/>
        </w:rPr>
        <w:t>$</w:t>
      </w:r>
      <w:r>
        <w:rPr>
          <w:rFonts w:cs="Century Schoolbook" w:ascii="Century Schoolbook" w:hAnsi="Century Schoolbook"/>
          <w:sz w:val="24"/>
          <w:u w:val="double"/>
        </w:rPr>
        <w:t>30 million</w:t>
      </w:r>
    </w:p>
    <w:p>
      <w:pPr>
        <w:pStyle w:val="Normal"/>
        <w:ind w:start="2880" w:end="0"/>
        <w:rPr>
          <w:rFonts w:ascii="Century Schoolbook" w:hAnsi="Century Schoolbook" w:cs="Century Schoolbook"/>
          <w:sz w:val="24"/>
          <w:u w:val="double"/>
        </w:rPr>
      </w:pPr>
      <w:r>
        <w:rPr>
          <w:rFonts w:cs="Century Schoolbook" w:ascii="Century Schoolbook" w:hAnsi="Century Schoolbook"/>
          <w:sz w:val="24"/>
          <w:u w:val="double"/>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During the course of ECT's due diligence review, the team made separate presentations to gain the required formal approvals necessary to proceed with the transaction to senior management of several of Enron's units.  Among the dozen or more approving officers who attended or participated in these presentations was the President of ECT Securities, both the Chairman and C.E.O. of Enron Capital and Trade North America, and the President and Chief Operating Officer of Enron.  In each of the these review and approval meetings, often lasting one to two hours, there was substantial back and forth discussions between senior management and the due diligence team regarding the team's findings and assessments.  McConville stated to me, "This project had a very high profile within ECT, and I never worked harder on reviewing a transaction".</w:t>
      </w:r>
    </w:p>
    <w:p>
      <w:pPr>
        <w:pStyle w:val="BodyTextIndent2"/>
        <w:rPr/>
      </w:pPr>
      <w:r>
        <w:rPr/>
        <w:t xml:space="preserve">ECT did not detect, nor suspect, among any of the other parties to this transaction, any deceitful intent, incompetence nor gross misjudgment.  In good faith it relied on the opinions of the experts it trusted, including SDI and PW.  It had worked satisfactorily with MCD in a prior transaction and favorably regarded  MCD's knowledge of both the steel industry generally and the NSM project specifically.  ECT accepted that MCD's confidence in the principals of NSM was well founded based on its financial advisory relationship with NSM.  Lastly, ECT was confident that MCD and NatWest Capital Markets ("NW") were capable of ably managing the due diligence and documentation portion of the placement (which would include, among other duties, forwarding to ECT all relevant documents pertaining to the transaction, such as, for example, the December, 1997 E&amp;Y report that ECT discovered only in the summer of 1998). </w:t>
      </w:r>
    </w:p>
    <w:p>
      <w:pPr>
        <w:pStyle w:val="BodyTextIndent2"/>
        <w:rPr/>
      </w:pPr>
      <w:r>
        <w:rPr/>
        <w:t xml:space="preserve">As stated earlier, in a co-managed transaction, the lead manager directs the co-managers in their endeavors.   This has been customary in co-managed underwritings and private placements forever.  Co-managers, such as, ECT, do not act independently.  It would be completely out-of-character in any co-managed underwriting for a non-lead, co-manager to end-run the manager and, without cause, separately seek meetings with, or information from, for example, the issuer's auditors.  Nor – as has been suggested </w:t>
      </w:r>
      <w:r>
        <w:rPr>
          <w:rFonts w:eastAsia="Symbol" w:cs="Symbol" w:ascii="Symbol" w:hAnsi="Symbol"/>
        </w:rPr>
        <w:sym w:font="Symbol" w:char="f02d"/>
      </w:r>
      <w:r>
        <w:rPr/>
        <w:t xml:space="preserve"> absent suspicion of deception or incompetence, would a co-manager spend time studying the "cc" lists on memos received so as to call unknown memo recipients to ascertain their function.</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 xml:space="preserve">ECT's compensation in all aspects of the NSM transaction totaled approximately $1.4 million, of which $738,000 was its portion of the $16.7 million total placement fee (or, 4% of such total for ECT), and $725,000 of commitment fees were paid to ECT from the Offering's $29.3 million of initially estimated transaction fees (or, 2% of such total for ECT).   (Interestingly, though named as an "Initial Purchaser" of the Offering's securities, ECT was not required by NW, the syndicate manager, to fund its stipulated "initial purchase" portion of the Mortgage Notes and Units Offering.  In fact, Enron units purchased their Subordinated Mortgage Notes not from NSM, but from NW, which itself collected the placement fee on these purchases.)  </w:t>
      </w:r>
    </w:p>
    <w:p>
      <w:pPr>
        <w:pStyle w:val="BodyText"/>
        <w:ind w:firstLine="720" w:end="0"/>
        <w:rPr>
          <w:b/>
          <w:u w:val="single"/>
        </w:rPr>
      </w:pPr>
      <w:r>
        <w:rPr/>
        <w:t>With regard to ECT's role in the offering process, ECT did not participate in any road shows (but did attend two), did not solicit orders from any investor or potential investor, did not re-sell any securities to investors, performed extensive due diligence, internally reviewed the transaction several times at several levels including the highest, and had no bias towards the transaction because of fees to be received which were dwarfed by its investment outlay.  Rather, ECT's $30 million investment validates its convictions about the investment merits of the securities at the time of the Offering.</w:t>
      </w:r>
    </w:p>
    <w:p>
      <w:pPr>
        <w:pStyle w:val="BodyText"/>
        <w:spacing w:lineRule="auto" w:line="240"/>
        <w:jc w:val="center"/>
        <w:rPr>
          <w:b/>
          <w:i/>
          <w:i/>
          <w:u w:val="single"/>
        </w:rPr>
      </w:pPr>
      <w:r>
        <w:rPr>
          <w:b/>
          <w:i/>
          <w:u w:val="single"/>
        </w:rPr>
      </w:r>
    </w:p>
    <w:p>
      <w:pPr>
        <w:pStyle w:val="BodyText"/>
        <w:spacing w:lineRule="auto" w:line="240"/>
        <w:jc w:val="center"/>
        <w:rPr>
          <w:b/>
          <w:i/>
          <w:i/>
          <w:u w:val="single"/>
        </w:rPr>
      </w:pPr>
      <w:r>
        <w:rPr>
          <w:b/>
          <w:i/>
          <w:u w:val="single"/>
        </w:rPr>
        <w:t>Other Matters</w:t>
      </w:r>
    </w:p>
    <w:p>
      <w:pPr>
        <w:pStyle w:val="BodyText"/>
        <w:spacing w:lineRule="auto" w:line="240"/>
        <w:rPr>
          <w:b/>
          <w:i/>
          <w:i/>
          <w:u w:val="single"/>
        </w:rPr>
      </w:pPr>
      <w:r>
        <w:rPr>
          <w:b/>
          <w:i/>
          <w:u w:val="single"/>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As more fully stated in my Conclusions below, I believe that ECT's due diligence review was comprehensive, alert to critical issues, and conformed to, or exceeded, the customary due diligence standards of the investment banking community.  To the extent that the Offering Memorandum actually mischaracterized, misstated or omitted to disclose any material facts, ECT did not know of, nor, under the circumstances, could it reasonably have known of, such misstatements.   </w:t>
      </w:r>
    </w:p>
    <w:p>
      <w:pPr>
        <w:pStyle w:val="Normal"/>
        <w:spacing w:lineRule="auto" w:line="480"/>
        <w:ind w:firstLine="720" w:end="0"/>
        <w:rPr/>
      </w:pPr>
      <w:r>
        <w:rPr>
          <w:rFonts w:cs="Century Schoolbook" w:ascii="Century Schoolbook" w:hAnsi="Century Schoolbook"/>
          <w:sz w:val="24"/>
        </w:rPr>
        <w:t>The Complaint filed in this NSM Litigation raises a number of issues relating to allegedly failed due diligence by ECT, which I addressed above.  Certain of these issues also are raised in the Expert Reports of Robert M. Daines and Ralph O. Hellmold, which were among the documents presented to me for my review.  Neither of these Reports express any opinion about the due diligence conducted, or the reasonable care exercised, by ECT.</w:t>
      </w:r>
      <w:r>
        <w:rPr/>
        <w:t xml:space="preserve"> Accordingly, I have been advised by Alschuler Grossman Stein &amp; Kahan that it is not necessary for me to comment on the reports of either Professor Daines or Mr. Hellmold in this report.  If I am deposed, and if I am advised reasonably prior thereto of any opinion by Professor Daines or Mr. Hellmold concerning the due diligence/reasonable care undertaken by ECT in the NSM transaction, I will be prepared at my deposition to comment on such opinion and on such portions or portions, if any, of the reports submitted by Professor Daines and/or Mr. Hellmold as may relate to any such opinion.   </w:t>
      </w:r>
    </w:p>
    <w:p>
      <w:pPr>
        <w:pStyle w:val="Normal"/>
        <w:rPr/>
      </w:pPr>
      <w:r>
        <w:rPr/>
      </w:r>
    </w:p>
    <w:p>
      <w:pPr>
        <w:pStyle w:val="Normal"/>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t xml:space="preserve">CONCLUSION </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From my review of material parts of the present record, including deposition transcripts and other discovery materials, interviews with members of ECT's due diligence team, and other relevant information available at the time of the NSM Offering, it is my opinion that ECT's actions conformed to industry custom and standards, and that it performed the due diligence inquiry competently and thoroughly and exercised reasonable care throughout.  Indeed, the record amply demonstrates that through an intensive due diligence effort on its part, which, in fact, may have been greater than that of its co-managers, ECT:</w:t>
      </w:r>
    </w:p>
    <w:p>
      <w:pPr>
        <w:pStyle w:val="Normal"/>
        <w:numPr>
          <w:ilvl w:val="0"/>
          <w:numId w:val="14"/>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 xml:space="preserve">Reviewed carefully volumes of data and became comfortable with NSM's overall business plan; the opportunities, challenges and country-specific economics of the mill's location; and the past and present market conditions affecting NSM's proposed end-market products and its major raw material inputs. </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19"/>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Recognized, from the outset through the Closing, the potential for related party transactions and repeatedly sought verbal assurances from NSM and MCD that there would be no such abuses; and satisfied itself that controls were established in the Management and Shareholders' Agreements that precluded payments to related parties.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Researched the background of Sawasdi and Schultes, examined the background and experience of  NSM's top managerial and technical staff, and reviewed the training received from Nucor and Hysla by the labor force.</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30"/>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Researched, by itself and through interviews with NSM and Outside Sources, especially SDI, the overall mill design; each of the key equipment elements comprising the planned facilities; its state of readiness; the projected installation of the DRI and Finishing Facilities; and the planned ramp-ups for producing the hot mill and cold mill products.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5"/>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Scrutinized the financial projections, examining each of the  key underlying assumptions for reasonableness, and subjected the projections to rigorous sensitivity analyses designed to spotlight critical variables of input costs, operating efficiencies, and product prices and mix.</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1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Paid careful attention to, and was comfortable with, the material disclosure elements of the Offering Memorandum, including the description of NSM's facilities and proposed operations, the Use of Proceeds and the Risk Factors sections.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14"/>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Conducted interviews with NSM's customers, suppliers, banks, third-party steel mill experts and industry participants.</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14"/>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Initiated numerous back and forth conversations relating to the mill's facilities and planned start-up with: SDI, Nucor, Qualitech, Marcus (PW), Barnett, Preussag, Klockner and Hatch Associates as well as with NSM and MCD.</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ECT evidenced a strong due diligence effort throughout and paid careful attention to disclosure matters, using both inside and outside counsels to review the document.  (I have never heard of a non-lead, co-manager independently employing outside counsel.)  It formally reviewed the transaction internally with senior management from different units with different disciplines and perspectives. It recognized its lack of technical steel equipment and operations expertise and used outside experts to confirm management's descriptions.  Simply, it did all that could be expected and more.  As I stated before, ECT could not have been biased by a fee that amounted to a small fraction of its prospective investment.  Rather the opposite: nothing validates ECT's own internal conviction that it had [a] rigorously analyzed the transaction, [b] believed the project to be a sound investment, and [c] that its description in the Offering Memorandum was as ECT understood it to be given the information then at its disposal, than ECT's investment of $30 million in the most subordinated layers of NSM's capital structure.</w:t>
      </w:r>
    </w:p>
    <w:p>
      <w:pPr>
        <w:pStyle w:val="Normal"/>
        <w:spacing w:lineRule="auto" w:line="480"/>
        <w:ind w:firstLine="720" w:end="0"/>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Notwithstanding that the NSM offering was a private placement issued under Rule 144A, ECT's due diligence conformed to industry custom and practice at a level associated with underwritten public offerings and, in many respects, the due diligence conducted by the ECT was more searching and careful than in many public offerings with which I am familiar.</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I have read the Plaintiffs' Complaint which alleges misstatements in the Offering Memorandum and Supplement and claims that ECT is a party to these purported misstatements because it was "an agent, partner, joint venturer, co-conspirator and alter ego of the (other) defendants".  Based upon my assessments and conclusions stated above, it is my opinion that when viewed in light of the information available to ECT and the totality of the circumstances at the time of the placement, ECT [1] exercised reasonable care to determine that the statements in these documents were true in all material respects, and that the documents did not omit to state any material facts, and [2] had no reasonable ground to believe that these documents contained any statement that was either untrue with respect to, or omitted to state, any material fact.  I also see that the Complaint alleges misstatements in the road show slide presentations and the PaineWebber Internal Sales Memorandum again claiming that ECT is a party to these alleged misstatements.  ECT did not prepare, nor even participate in a review of these materials prior to their distribution.  As stated above, ECT viewed Peter Marcus of PW as one of its expert sources and had confidence in his assessment of NSM's facilities and business plan as contained in PW's Internal Sales Memo.  With regard to the slides, Brian Barth of ECT sat in the audience at two same-day road show presentations in New York City and saw slides similar to those attached to the Complaint.  Based on all of the facts known to ECT as a result of its due diligence, ECT had no reasonable grounds to believe that either the PW Internal Sales Memo or the road show slides contained any untrue statement, or omitted to state facts, in any material respect.    </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 xml:space="preserve">Although the analysis and opinions contained in my report are based on </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information available as of the date of this report, I reserve all rights to modify, amend or supplement this Report should any additional or different information come to my attention.</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cs="Century Schoolbook" w:ascii="Century Schoolbook" w:hAnsi="Century Schoolbook"/>
          <w:sz w:val="24"/>
        </w:rPr>
        <w:t>By:</w:t>
        <w:tab/>
      </w:r>
      <w:r>
        <w:rPr>
          <w:rFonts w:cs="Century Schoolbook" w:ascii="Century Schoolbook" w:hAnsi="Century Schoolbook"/>
          <w:sz w:val="24"/>
          <w:u w:val="single"/>
        </w:rPr>
        <w:tab/>
        <w:tab/>
        <w:tab/>
        <w:tab/>
        <w:tab/>
        <w:tab/>
      </w:r>
      <w:r>
        <w:rPr>
          <w:rFonts w:cs="Century Schoolbook" w:ascii="Century Schoolbook" w:hAnsi="Century Schoolbook"/>
          <w:sz w:val="24"/>
        </w:rPr>
        <w:tab/>
        <w:t>Dated:</w:t>
        <w:tab/>
      </w:r>
      <w:r>
        <w:rPr>
          <w:rFonts w:cs="Century Schoolbook" w:ascii="Century Schoolbook" w:hAnsi="Century Schoolbook"/>
          <w:sz w:val="24"/>
          <w:u w:val="single"/>
        </w:rPr>
        <w:tab/>
        <w:tab/>
        <w:tab/>
      </w:r>
    </w:p>
    <w:p>
      <w:pPr>
        <w:pStyle w:val="Normal"/>
        <w:rPr>
          <w:rFonts w:ascii="Century Schoolbook" w:hAnsi="Century Schoolbook" w:cs="Century Schoolbook"/>
          <w:sz w:val="24"/>
        </w:rPr>
      </w:pPr>
      <w:r>
        <w:rPr>
          <w:rFonts w:cs="Century Schoolbook" w:ascii="Century Schoolbook" w:hAnsi="Century Schoolbook"/>
          <w:sz w:val="24"/>
        </w:rPr>
        <w:tab/>
        <w:t>F. Gerard McGrath</w:t>
        <w:tab/>
        <w:tab/>
        <w:tab/>
        <w:tab/>
        <w:tab/>
        <w:tab/>
        <w:tab/>
        <w:t>April 16, 2001</w:t>
      </w:r>
    </w:p>
    <w:p>
      <w:pPr>
        <w:pStyle w:val="Normal"/>
        <w:ind w:firstLine="720" w:end="0"/>
        <w:rPr>
          <w:rFonts w:ascii="Century Schoolbook" w:hAnsi="Century Schoolbook" w:cs="Century Schoolbook"/>
          <w:sz w:val="24"/>
        </w:rPr>
      </w:pPr>
      <w:r>
        <w:rPr>
          <w:rFonts w:cs="Century Schoolbook" w:ascii="Century Schoolbook" w:hAnsi="Century Schoolbook"/>
          <w:sz w:val="24"/>
        </w:rPr>
        <w:t>McGrath &amp; Company</w:t>
        <w:tab/>
        <w:tab/>
        <w:tab/>
        <w:tab/>
        <w:tab/>
        <w:tab/>
        <w:t>New Canaan, CT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Tahoma">
    <w:charset w:val="00" w:characterSet="windows-1252"/>
    <w:family w:val="swiss"/>
    <w:pitch w:val="variable"/>
  </w:font>
  <w:font w:name="News Gothic MT">
    <w:charset w:val="00" w:characterSet="windows-1252"/>
    <w:family w:val="swiss"/>
    <w:pitch w:val="variable"/>
  </w:font>
  <w:font w:name="Franklin Gothic Boo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Century Schoolbook" w:ascii="Century Schoolbook" w:hAnsi="Century Schoolbook"/>
        <w:sz w:val="24"/>
      </w:rPr>
      <w:fldChar w:fldCharType="begin"/>
    </w:r>
    <w:r>
      <w:rPr>
        <w:rStyle w:val="PageNumber"/>
        <w:sz w:val="24"/>
        <w:rFonts w:cs="Century Schoolbook" w:ascii="Century Schoolbook" w:hAnsi="Century Schoolbook"/>
      </w:rPr>
      <w:instrText xml:space="preserve"> PAGE </w:instrText>
    </w:r>
    <w:r>
      <w:rPr>
        <w:rStyle w:val="PageNumber"/>
        <w:sz w:val="24"/>
        <w:rFonts w:cs="Century Schoolbook" w:ascii="Century Schoolbook" w:hAnsi="Century Schoolbook"/>
      </w:rPr>
      <w:fldChar w:fldCharType="separate"/>
    </w:r>
    <w:r>
      <w:rPr>
        <w:rStyle w:val="PageNumber"/>
        <w:sz w:val="24"/>
        <w:rFonts w:cs="Century Schoolbook" w:ascii="Century Schoolbook" w:hAnsi="Century Schoolbook"/>
      </w:rPr>
      <w:t>0</w:t>
    </w:r>
    <w:r>
      <w:rPr>
        <w:rStyle w:val="PageNumber"/>
        <w:sz w:val="24"/>
        <w:rFonts w:cs="Century Schoolbook" w:ascii="Century Schoolbook" w:hAnsi="Century Schoolbook"/>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Century Schoolbook" w:ascii="Century Schoolbook" w:hAnsi="Century Schoolbook"/>
        <w:sz w:val="24"/>
      </w:rPr>
      <w:fldChar w:fldCharType="begin"/>
    </w:r>
    <w:r>
      <w:rPr>
        <w:rStyle w:val="PageNumber"/>
        <w:sz w:val="24"/>
        <w:rFonts w:cs="Century Schoolbook" w:ascii="Century Schoolbook" w:hAnsi="Century Schoolbook"/>
      </w:rPr>
      <w:instrText xml:space="preserve"> PAGE </w:instrText>
    </w:r>
    <w:r>
      <w:rPr>
        <w:rStyle w:val="PageNumber"/>
        <w:sz w:val="24"/>
        <w:rFonts w:cs="Century Schoolbook" w:ascii="Century Schoolbook" w:hAnsi="Century Schoolbook"/>
      </w:rPr>
      <w:fldChar w:fldCharType="separate"/>
    </w:r>
    <w:r>
      <w:rPr>
        <w:rStyle w:val="PageNumber"/>
        <w:sz w:val="24"/>
        <w:rFonts w:cs="Century Schoolbook" w:ascii="Century Schoolbook" w:hAnsi="Century Schoolbook"/>
      </w:rPr>
      <w:t>27</w:t>
    </w:r>
    <w:r>
      <w:rPr>
        <w:rStyle w:val="PageNumber"/>
        <w:sz w:val="24"/>
        <w:rFonts w:cs="Century Schoolbook" w:ascii="Century Schoolbook" w:hAnsi="Century Schoolbook"/>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News Gothic MT" w:hAnsi="News Gothic MT" w:cs="News Gothic MT"/>
        <w:b/>
        <w:i/>
        <w:i/>
        <w:smallCaps/>
        <w:spacing w:val="-14"/>
        <w:sz w:val="20"/>
      </w:rPr>
    </w:pPr>
    <w:r>
      <w:rPr>
        <w:rFonts w:cs="News Gothic MT" w:ascii="News Gothic MT" w:hAnsi="News Gothic MT"/>
        <w:b/>
        <w:i/>
        <w:smallCaps/>
        <w:spacing w:val="-14"/>
        <w:sz w:val="20"/>
      </w:rPr>
      <w:t>McGrath &amp; Company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News Gothic MT" w:hAnsi="News Gothic MT" w:cs="News Gothic MT"/>
        <w:b/>
        <w:i/>
        <w:i/>
        <w:smallCaps/>
        <w:spacing w:val="-14"/>
        <w:sz w:val="20"/>
      </w:rPr>
    </w:pPr>
    <w:r>
      <w:rPr>
        <w:rFonts w:cs="News Gothic MT" w:ascii="News Gothic MT" w:hAnsi="News Gothic MT"/>
        <w:b/>
        <w:i/>
        <w:smallCaps/>
        <w:spacing w:val="-14"/>
        <w:sz w:val="20"/>
      </w:rPr>
      <w:t>McGrath &amp; Company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2"/>
      <w:numFmt w:val="upperLetter"/>
      <w:lvlText w:val="%1."/>
      <w:lvlJc w:val="start"/>
      <w:pPr>
        <w:tabs>
          <w:tab w:val="num" w:pos="408"/>
        </w:tabs>
        <w:ind w:start="408" w:hanging="408"/>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Times New Roman" w:hAnsi="Times New Roman" w:cs="Times New Roman" w:hint="default"/>
        <w:sz w:val="28"/>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360"/>
        </w:tabs>
        <w:ind w:start="360" w:hanging="360"/>
      </w:p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0"/>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rFonts w:ascii="Century Schoolbook" w:hAnsi="Century Schoolbook" w:cs="Century Schoolbook"/>
      <w:b/>
      <w:sz w:val="24"/>
    </w:rPr>
  </w:style>
  <w:style w:type="paragraph" w:styleId="Heading2">
    <w:name w:val="heading 2"/>
    <w:basedOn w:val="Normal"/>
    <w:next w:val="Normal"/>
    <w:qFormat/>
    <w:pPr>
      <w:keepNext w:val="true"/>
      <w:numPr>
        <w:ilvl w:val="1"/>
        <w:numId w:val="1"/>
      </w:numPr>
      <w:spacing w:lineRule="auto" w:line="480"/>
      <w:outlineLvl w:val="1"/>
    </w:pPr>
    <w:rPr>
      <w:rFonts w:ascii="Century Schoolbook" w:hAnsi="Century Schoolbook" w:cs="Century Schoolbook"/>
      <w:b/>
      <w:sz w:val="24"/>
      <w:u w:val="single"/>
    </w:rPr>
  </w:style>
  <w:style w:type="paragraph" w:styleId="Heading3">
    <w:name w:val="heading 3"/>
    <w:basedOn w:val="Normal"/>
    <w:next w:val="Normal"/>
    <w:qFormat/>
    <w:pPr>
      <w:keepNext w:val="true"/>
      <w:numPr>
        <w:ilvl w:val="2"/>
        <w:numId w:val="1"/>
      </w:numPr>
      <w:spacing w:lineRule="auto" w:line="480"/>
      <w:outlineLvl w:val="2"/>
    </w:pPr>
    <w:rPr>
      <w:rFonts w:ascii="Century Schoolbook" w:hAnsi="Century Schoolbook" w:cs="Century Schoolbook"/>
      <w:b/>
      <w:sz w:val="24"/>
    </w:rPr>
  </w:style>
  <w:style w:type="paragraph" w:styleId="Heading4">
    <w:name w:val="heading 4"/>
    <w:basedOn w:val="Normal"/>
    <w:next w:val="Normal"/>
    <w:qFormat/>
    <w:pPr>
      <w:keepNext w:val="true"/>
      <w:numPr>
        <w:ilvl w:val="3"/>
        <w:numId w:val="1"/>
      </w:numPr>
      <w:ind w:hanging="0" w:start="360" w:end="0"/>
      <w:outlineLvl w:val="3"/>
    </w:pPr>
    <w:rPr>
      <w:b/>
    </w:rPr>
  </w:style>
  <w:style w:type="paragraph" w:styleId="Heading5">
    <w:name w:val="heading 5"/>
    <w:basedOn w:val="Normal"/>
    <w:next w:val="Normal"/>
    <w:qFormat/>
    <w:pPr>
      <w:keepNext w:val="true"/>
      <w:numPr>
        <w:ilvl w:val="4"/>
        <w:numId w:val="1"/>
      </w:numPr>
      <w:spacing w:lineRule="auto" w:line="480"/>
      <w:jc w:val="center"/>
      <w:outlineLvl w:val="4"/>
    </w:pPr>
    <w:rPr>
      <w:rFonts w:ascii="Century Schoolbook" w:hAnsi="Century Schoolbook" w:cs="Century Schoolbook"/>
      <w:b/>
      <w:i/>
      <w:sz w:val="24"/>
      <w:u w:val="single"/>
    </w:rPr>
  </w:style>
  <w:style w:type="paragraph" w:styleId="Heading6">
    <w:name w:val="heading 6"/>
    <w:basedOn w:val="Normal"/>
    <w:next w:val="Normal"/>
    <w:qFormat/>
    <w:pPr>
      <w:keepNext w:val="true"/>
      <w:numPr>
        <w:ilvl w:val="5"/>
        <w:numId w:val="1"/>
      </w:numPr>
      <w:spacing w:lineRule="auto" w:line="480"/>
      <w:outlineLvl w:val="5"/>
    </w:pPr>
    <w:rPr>
      <w:b/>
    </w:rPr>
  </w:style>
  <w:style w:type="paragraph" w:styleId="Heading7">
    <w:name w:val="heading 7"/>
    <w:basedOn w:val="Normal"/>
    <w:next w:val="Normal"/>
    <w:qFormat/>
    <w:pPr>
      <w:keepNext w:val="true"/>
      <w:numPr>
        <w:ilvl w:val="6"/>
        <w:numId w:val="1"/>
      </w:numPr>
      <w:tabs>
        <w:tab w:val="clear" w:pos="720"/>
        <w:tab w:val="left" w:pos="0" w:leader="none"/>
      </w:tabs>
      <w:spacing w:lineRule="auto" w:line="480"/>
      <w:outlineLvl w:val="6"/>
    </w:pPr>
    <w:rPr>
      <w:rFonts w:ascii="Century Schoolbook" w:hAnsi="Century Schoolbook" w:cs="Century Schoolbook"/>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sz w:val="28"/>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Times New Roman" w:hAnsi="Times New Roman" w:cs="Times New Roman"/>
      <w:sz w:val="28"/>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u w:val="single"/>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Times New Roman" w:hAnsi="Times New Roman" w:cs="Times New Roman"/>
      <w:sz w:val="28"/>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ahoma" w:hAnsi="Tahoma" w:cs="Tahoma"/>
      <w:b/>
      <w:i/>
      <w:smallCaps/>
      <w:sz w:val="24"/>
    </w:rPr>
  </w:style>
  <w:style w:type="paragraph" w:styleId="BodyText">
    <w:name w:val="Body Text"/>
    <w:basedOn w:val="Normal"/>
    <w:pPr>
      <w:spacing w:lineRule="auto" w:line="480"/>
    </w:pPr>
    <w:rPr>
      <w:rFonts w:ascii="Century Schoolbook" w:hAnsi="Century Schoolbook" w:cs="Century Schoolbook"/>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Century Schoolbook" w:hAnsi="Century Schoolbook" w:cs="Century Schoolbook"/>
      <w:sz w:val="24"/>
    </w:rPr>
  </w:style>
  <w:style w:type="paragraph" w:styleId="BodyTextIndent2">
    <w:name w:val="Body Text Indent 2"/>
    <w:basedOn w:val="Normal"/>
    <w:qFormat/>
    <w:pPr>
      <w:spacing w:lineRule="auto" w:line="480"/>
      <w:ind w:firstLine="720" w:start="0" w:end="0"/>
    </w:pPr>
    <w:rPr>
      <w:rFonts w:ascii="Century Schoolbook" w:hAnsi="Century Schoolbook" w:cs="Century Schoolbook"/>
      <w:sz w:val="24"/>
    </w:rPr>
  </w:style>
  <w:style w:type="paragraph" w:styleId="BodyTextIndent3">
    <w:name w:val="Body Text Indent 3"/>
    <w:basedOn w:val="Normal"/>
    <w:qFormat/>
    <w:pPr>
      <w:ind w:hanging="0" w:start="1080" w:end="0"/>
    </w:pPr>
    <w:rPr>
      <w:rFonts w:ascii="Century Schoolbook" w:hAnsi="Century Schoolbook" w:cs="Century Schoolbook"/>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2001-04-16T19:38:00Z</dcterms:created>
  <dc:creator>Jodi L. Kempf</dc:creator>
  <dc:description/>
  <dc:language>en-CA</dc:language>
  <cp:lastModifiedBy>Default</cp:lastModifiedBy>
  <cp:lastPrinted>2001-04-16T16:08:00Z</cp:lastPrinted>
  <dcterms:modified xsi:type="dcterms:W3CDTF">2001-04-16T19:38:00Z</dcterms:modified>
  <cp:revision>2</cp:revision>
  <dc:subject/>
  <dc:title>REPORT OF F</dc:title>
</cp:coreProperties>
</file>