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Trena McFarland</w:t>
            </w:r>
          </w:p>
          <w:p>
            <w:pPr>
              <w:pStyle w:val="To"/>
              <w:rPr/>
            </w:pPr>
            <w:r>
              <w:rPr/>
            </w:r>
          </w:p>
          <w:p>
            <w:pPr>
              <w:pStyle w:val="To"/>
              <w:rPr/>
            </w:pPr>
            <w:r>
              <w:rPr/>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p>
            <w:pPr>
              <w:pStyle w:val="To"/>
              <w:rPr/>
            </w:pPr>
            <w:r>
              <w:rPr/>
            </w:r>
          </w:p>
          <w:p>
            <w:pPr>
              <w:pStyle w:val="To"/>
              <w:rPr/>
            </w:pPr>
            <w:r>
              <w:rPr/>
            </w:r>
          </w:p>
          <w:p>
            <w:pPr>
              <w:pStyle w:val="To"/>
              <w:rPr/>
            </w:pPr>
            <w:r>
              <w:rPr/>
              <w:t>Lance Schuler</w:t>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Bob Bruce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EWS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Coffee, Sugar &amp; Cocoa swap products on EnronOnline/</w:t>
            </w:r>
          </w:p>
          <w:p>
            <w:pPr>
              <w:pStyle w:val="Subject"/>
              <w:rPr/>
            </w:pPr>
            <w:r>
              <w:rPr/>
              <w:t>Potential application of CFTC Rule 35</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30, 2001</w:t>
            </w:r>
          </w:p>
        </w:tc>
      </w:tr>
    </w:tbl>
    <w:p>
      <w:pPr>
        <w:pStyle w:val="Body"/>
        <w:jc w:val="both"/>
        <w:rPr>
          <w:sz w:val="22"/>
        </w:rPr>
      </w:pPr>
      <w:r>
        <w:rPr>
          <w:sz w:val="22"/>
        </w:rPr>
      </w:r>
      <w:bookmarkStart w:id="1" w:name="StartOfMemo"/>
      <w:bookmarkStart w:id="2" w:name="StartOfMemo"/>
      <w:bookmarkEnd w:id="2"/>
    </w:p>
    <w:p>
      <w:pPr>
        <w:pStyle w:val="Body"/>
        <w:ind w:firstLine="576" w:end="720"/>
        <w:jc w:val="both"/>
        <w:rPr>
          <w:sz w:val="22"/>
        </w:rPr>
      </w:pPr>
      <w:r>
        <w:rPr>
          <w:sz w:val="22"/>
        </w:rPr>
        <w:t>At your request, this memorandum is to follow up on an April 27, 2001 discussion among Ken Raisler of Sullivan &amp; Cromwell, yourself and myself on the referenced subject.</w:t>
      </w:r>
    </w:p>
    <w:p>
      <w:pPr>
        <w:pStyle w:val="Body"/>
        <w:ind w:firstLine="576" w:end="720"/>
        <w:jc w:val="both"/>
        <w:rPr>
          <w:sz w:val="22"/>
        </w:rPr>
      </w:pPr>
      <w:r>
        <w:rPr>
          <w:sz w:val="22"/>
        </w:rPr>
      </w:r>
    </w:p>
    <w:p>
      <w:pPr>
        <w:pStyle w:val="Body"/>
        <w:ind w:firstLine="576" w:end="720"/>
        <w:jc w:val="both"/>
        <w:rPr>
          <w:sz w:val="22"/>
        </w:rPr>
      </w:pPr>
      <w:r>
        <w:rPr>
          <w:sz w:val="22"/>
        </w:rPr>
        <w:t>Rule 35 of the Commodity Futures Trading Commission (the “CFTC”) is the “safe harbor” provision that the derivatives industry has traditionally relied upon for legal authorization to engage in over-the-counter swaps transactions.  To qualify for the safe harbor, a “swap agreement” must meet certain qualifications, among them the requirement set forth in Rule 35.2(b):</w:t>
      </w:r>
    </w:p>
    <w:p>
      <w:pPr>
        <w:pStyle w:val="Body"/>
        <w:ind w:firstLine="576" w:end="720"/>
        <w:jc w:val="both"/>
        <w:rPr>
          <w:sz w:val="22"/>
        </w:rPr>
      </w:pPr>
      <w:r>
        <w:rPr>
          <w:sz w:val="22"/>
        </w:rPr>
      </w:r>
    </w:p>
    <w:p>
      <w:pPr>
        <w:pStyle w:val="Body"/>
        <w:ind w:firstLine="576" w:start="1440" w:end="1440"/>
        <w:jc w:val="both"/>
        <w:rPr/>
      </w:pPr>
      <w:r>
        <w:rPr/>
        <w:t xml:space="preserve">(b)  the swap agreement is not part of a fungible class of agreements that are standardized as to their material economic terms; </w:t>
      </w:r>
    </w:p>
    <w:p>
      <w:pPr>
        <w:pStyle w:val="Body"/>
        <w:ind w:start="648" w:end="720"/>
        <w:jc w:val="both"/>
        <w:rPr>
          <w:sz w:val="22"/>
        </w:rPr>
      </w:pPr>
      <w:r>
        <w:rPr>
          <w:sz w:val="22"/>
        </w:rPr>
      </w:r>
    </w:p>
    <w:p>
      <w:pPr>
        <w:pStyle w:val="Body"/>
        <w:ind w:start="90" w:end="720"/>
        <w:jc w:val="both"/>
        <w:rPr>
          <w:sz w:val="22"/>
        </w:rPr>
      </w:pPr>
      <w:r>
        <w:rPr>
          <w:sz w:val="22"/>
        </w:rPr>
        <w:t>17 C.F.R. 35.2(b)(1993).</w:t>
      </w:r>
    </w:p>
    <w:p>
      <w:pPr>
        <w:pStyle w:val="Body"/>
        <w:ind w:start="90" w:end="720"/>
        <w:jc w:val="both"/>
        <w:rPr>
          <w:sz w:val="22"/>
        </w:rPr>
      </w:pPr>
      <w:r>
        <w:rPr>
          <w:sz w:val="22"/>
        </w:rPr>
      </w:r>
    </w:p>
    <w:p>
      <w:pPr>
        <w:pStyle w:val="Body"/>
        <w:ind w:start="90" w:end="720"/>
        <w:jc w:val="both"/>
        <w:rPr>
          <w:sz w:val="22"/>
        </w:rPr>
      </w:pPr>
      <w:r>
        <w:rPr>
          <w:sz w:val="22"/>
        </w:rPr>
        <w:tab/>
        <w:t>According to Mr. Raisler, the CFTC has not brought a single enforcement action based on this provision since Rule 35 was enacted in 1993.  Since the launching of EnronOnline in late 1999, none of the website’s swap products have even been challenged on these grounds in any kind of proceeding.</w:t>
      </w:r>
    </w:p>
    <w:p>
      <w:pPr>
        <w:pStyle w:val="Body"/>
        <w:ind w:start="90" w:end="720"/>
        <w:jc w:val="both"/>
        <w:rPr>
          <w:sz w:val="22"/>
        </w:rPr>
      </w:pPr>
      <w:r>
        <w:rPr>
          <w:sz w:val="22"/>
        </w:rPr>
      </w:r>
    </w:p>
    <w:p>
      <w:pPr>
        <w:pStyle w:val="Body"/>
        <w:ind w:firstLine="558" w:start="90" w:end="720"/>
        <w:jc w:val="both"/>
        <w:rPr/>
      </w:pPr>
      <w:r>
        <w:rPr>
          <w:sz w:val="22"/>
        </w:rPr>
        <w:t>It should be noted that as of the December 21, 2000 enactment of the Commodity Futures Modernization Act of 2000 (“CFMA”), the CFTC’s jurisdiction has essentially been narrowed in scope, with a greater concentration on “agricultural commodities.”</w:t>
      </w:r>
      <w:r>
        <w:rPr>
          <w:rStyle w:val="FootnoteCharacters"/>
          <w:rStyle w:val="FootnoteReference"/>
          <w:sz w:val="22"/>
        </w:rPr>
        <w:footnoteReference w:id="2"/>
      </w:r>
      <w:r>
        <w:rPr>
          <w:sz w:val="22"/>
        </w:rPr>
        <w:t xml:space="preserve">  With a new acting chairman and a new scope of jurisdiction, there is currently some degree of uncertainty regarding the regulatory attitude the CFTC will take going forward, and some questions will remain unresolved until the CFTC promulgates rules defining “agricultural commodities” and otherwise addressing over-the-counter trading in this area.   Mr. Raisler and I do not expect the CFTC to propose such rules until the latter half of this year, perhaps not until very late in the year.</w:t>
      </w:r>
    </w:p>
    <w:p>
      <w:pPr>
        <w:pStyle w:val="Body"/>
        <w:ind w:firstLine="558" w:start="90" w:end="720"/>
        <w:jc w:val="both"/>
        <w:rPr>
          <w:sz w:val="22"/>
        </w:rPr>
      </w:pPr>
      <w:r>
        <w:rPr>
          <w:sz w:val="22"/>
        </w:rPr>
      </w:r>
    </w:p>
    <w:p>
      <w:pPr>
        <w:pStyle w:val="Body"/>
        <w:ind w:firstLine="558" w:start="90" w:end="720"/>
        <w:jc w:val="both"/>
        <w:rPr/>
      </w:pPr>
      <w:r>
        <w:rPr>
          <w:sz w:val="22"/>
        </w:rPr>
        <w:t xml:space="preserve">The legal department raises these issues in the interest of thoroughness.  We have no direct indication that the CFTC would invoke Rule 35.2(b) in any sort of action against the coffee, sugar and cocoa swaps products we are planning on launching on EnronOnline.   We are not aware of any public statements by any of the current commissioners relating to Rule 35.2(b) at all, let alone anything indicating that the CFTC might reverse its approach of the past eight years and begin using this provision in enforcement actions.  In general, public statements by James Newsome, the acting chairman of the CFTC, have been supportive of liquidity in over-the-counter markets.  As you recall from our April 27 conference call, Mr. Raisler’s view is that while current circumstances may raise a degree of uncertainty regarding the regulatory climate going forward, he feels it is very unlikely that Rule 35.2(b) would be invoked to challenge the coffee, sugar and cocoa swap products we described to him.  If this rule </w:t>
      </w:r>
      <w:r>
        <w:rPr>
          <w:i/>
          <w:iCs/>
          <w:sz w:val="22"/>
        </w:rPr>
        <w:t>were</w:t>
      </w:r>
      <w:r>
        <w:rPr>
          <w:sz w:val="22"/>
        </w:rPr>
        <w:t xml:space="preserve"> to be invoked in a challenge against these products, it is far from certain any such challenge would succeed.  Because the provision has never been invoked, there is no interpretative precedent, and we would have a great deal of latitude in arguing against its application.</w:t>
      </w:r>
    </w:p>
    <w:p>
      <w:pPr>
        <w:pStyle w:val="Body"/>
        <w:ind w:firstLine="558" w:start="90" w:end="720"/>
        <w:jc w:val="both"/>
        <w:rPr>
          <w:sz w:val="22"/>
        </w:rPr>
      </w:pPr>
      <w:r>
        <w:rPr>
          <w:sz w:val="22"/>
        </w:rPr>
      </w:r>
    </w:p>
    <w:p>
      <w:pPr>
        <w:pStyle w:val="Body"/>
        <w:ind w:firstLine="558" w:start="90" w:end="720"/>
        <w:jc w:val="both"/>
        <w:rPr>
          <w:sz w:val="22"/>
        </w:rPr>
      </w:pPr>
      <w:r>
        <w:rPr>
          <w:sz w:val="22"/>
        </w:rPr>
        <w:t>Feel free to call me with any further questions you may have regarding the foregoing.</w:t>
      </w:r>
    </w:p>
    <w:p>
      <w:pPr>
        <w:pStyle w:val="Body"/>
        <w:ind w:start="648" w:end="720"/>
        <w:jc w:val="both"/>
        <w:rPr>
          <w:sz w:val="22"/>
        </w:rPr>
      </w:pPr>
      <w:r>
        <w:rPr>
          <w:sz w:val="22"/>
        </w:rPr>
        <w:tab/>
        <w:tab/>
        <w:t xml:space="preserve"> </w:t>
      </w:r>
    </w:p>
    <w:p>
      <w:pPr>
        <w:pStyle w:val="Body"/>
        <w:ind w:firstLine="558" w:start="90" w:end="720"/>
        <w:jc w:val="both"/>
        <w:rPr/>
      </w:pPr>
      <w:r>
        <w:rPr>
          <w:sz w:val="22"/>
        </w:rPr>
        <w:tab/>
        <w:tab/>
        <w:tab/>
        <w:tab/>
        <w:tab/>
        <w:tab/>
        <w:tab/>
        <w:tab/>
        <w:tab/>
        <w:tab/>
        <w:t>REB</w:t>
      </w:r>
      <w:r>
        <w:rPr/>
        <w:t xml:space="preserve">   </w:t>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/mnt/main-storage/datasets/enron-docs/doc/McFarland_043001.doc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/mnt/main-storage/datasets/enron-docs/doc/McFarland_043001.doc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Agricultural commodities” is not defined in the CFMA.  At such time that the CFTC proffers a definition, we anticipate arguing that coffee, sugar and cocoa are not “agricultural commodities” (in which event the provisions of CFTC Rule 35 would effectively be inapplicable).  However, in the interest of caution, this memorandum will assume that the CFTC would deem coffee, sugar and cocoa to be “agricultural commodities.”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2001-04-30T11:49:00Z</dcterms:created>
  <dc:creator>Jeff Ford</dc:creator>
  <dc:description/>
  <dc:language>en-CA</dc:language>
  <cp:lastModifiedBy>rbruce2</cp:lastModifiedBy>
  <cp:lastPrinted>2001-01-10T09:23:00Z</cp:lastPrinted>
  <dcterms:modified xsi:type="dcterms:W3CDTF">2001-04-30T13:31:00Z</dcterms:modified>
  <cp:revision>5</cp:revision>
  <dc:subject>Analysis of ECT's Financial, Power and Gas Forms</dc:subject>
  <dc:title>Eron Capital &amp; Trade Resources Memo</dc:title>
</cp:coreProperties>
</file>