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Trena McFarland</w:t>
            </w:r>
          </w:p>
          <w:p>
            <w:pPr>
              <w:pStyle w:val="To"/>
              <w:rPr/>
            </w:pPr>
            <w:r>
              <w:rPr/>
            </w:r>
          </w:p>
          <w:p>
            <w:pPr>
              <w:pStyle w:val="To"/>
              <w:rPr/>
            </w:pPr>
            <w:r>
              <w:rPr/>
            </w:r>
          </w:p>
        </w:tc>
        <w:tc>
          <w:tcPr>
            <w:tcW w:w="3955" w:type="dxa"/>
            <w:gridSpan w:val="2"/>
            <w:tcBorders/>
          </w:tcPr>
          <w:p>
            <w:pPr>
              <w:pStyle w:val="Normal"/>
              <w:rPr>
                <w:b/>
                <w:smallCaps/>
              </w:rPr>
            </w:pPr>
            <w:r>
              <w:rPr>
                <w:b/>
                <w:smallCaps/>
              </w:rPr>
              <w:t xml:space="preserve">Privileged and Confidential;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p>
            <w:pPr>
              <w:pStyle w:val="To"/>
              <w:rPr/>
            </w:pPr>
            <w:r>
              <w:rPr/>
            </w:r>
          </w:p>
          <w:p>
            <w:pPr>
              <w:pStyle w:val="To"/>
              <w:rPr/>
            </w:pPr>
            <w:r>
              <w:rPr/>
            </w:r>
          </w:p>
          <w:p>
            <w:pPr>
              <w:pStyle w:val="To"/>
              <w:rPr/>
            </w:pPr>
            <w:r>
              <w:rPr/>
              <w:t>Lance Schuler</w:t>
            </w:r>
          </w:p>
        </w:tc>
        <w:tc>
          <w:tcPr>
            <w:tcW w:w="3955" w:type="dxa"/>
            <w:gridSpan w:val="2"/>
            <w:tcBorders/>
          </w:tcPr>
          <w:p>
            <w:pPr>
              <w:pStyle w:val="Normal"/>
              <w:rPr>
                <w:b/>
                <w:smallCaps/>
              </w:rPr>
            </w:pPr>
            <w:r>
              <w:rPr>
                <w:b/>
                <w:smallCaps/>
              </w:rPr>
              <w:t xml:space="preserve">Attorney Client Work Product; </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3955" w:type="dxa"/>
            <w:gridSpan w:val="2"/>
            <w:tcBorders/>
          </w:tcPr>
          <w:p>
            <w:pPr>
              <w:pStyle w:val="Normal"/>
              <w:rPr>
                <w:b/>
                <w:smallCaps/>
              </w:rPr>
            </w:pPr>
            <w:r>
              <w:rPr>
                <w:b/>
                <w:smallCaps/>
              </w:rPr>
              <w:t>Not Discoverable</w:t>
            </w:r>
          </w:p>
        </w:tc>
      </w:tr>
      <w:tr>
        <w:trPr>
          <w:trHeight w:val="240" w:hRule="exact"/>
        </w:trPr>
        <w:tc>
          <w:tcPr>
            <w:tcW w:w="708" w:type="dxa"/>
            <w:tcBorders/>
          </w:tcPr>
          <w:p>
            <w:pPr>
              <w:pStyle w:val="Normal"/>
              <w:snapToGrid w:val="false"/>
              <w:ind w:start="-180" w:end="0"/>
              <w:jc w:val="end"/>
              <w:rPr>
                <w:b/>
                <w:smallCaps/>
                <w:sz w:val="16"/>
              </w:rPr>
            </w:pPr>
            <w:r>
              <w:rPr>
                <w:b/>
                <w:smallCaps/>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40" w:hRule="exact"/>
        </w:trPr>
        <w:tc>
          <w:tcPr>
            <w:tcW w:w="708" w:type="dxa"/>
            <w:tcBorders/>
          </w:tcPr>
          <w:p>
            <w:pPr>
              <w:pStyle w:val="Normal"/>
              <w:snapToGrid w:val="false"/>
              <w:ind w:start="-180" w:end="0"/>
              <w:jc w:val="end"/>
              <w:rPr>
                <w:sz w:val="16"/>
              </w:rPr>
            </w:pPr>
            <w:r>
              <w:rPr>
                <w:sz w:val="16"/>
              </w:rPr>
            </w:r>
          </w:p>
        </w:tc>
        <w:tc>
          <w:tcPr>
            <w:tcW w:w="6045" w:type="dxa"/>
            <w:tcBorders/>
          </w:tcPr>
          <w:p>
            <w:pPr>
              <w:pStyle w:val="To"/>
              <w:snapToGrid w:val="false"/>
              <w:rPr>
                <w:sz w:val="16"/>
              </w:rPr>
            </w:pPr>
            <w:r>
              <w:rPr>
                <w:sz w:val="16"/>
              </w:rPr>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Bob Bruce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EWS Legal</w:t>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Relating to Commodity Exchange Membership</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February 12, 2001</w:t>
            </w:r>
          </w:p>
        </w:tc>
      </w:tr>
    </w:tbl>
    <w:p>
      <w:pPr>
        <w:pStyle w:val="Body"/>
        <w:jc w:val="both"/>
        <w:rPr>
          <w:sz w:val="22"/>
        </w:rPr>
      </w:pPr>
      <w:bookmarkStart w:id="1" w:name="StartOfMemo"/>
      <w:bookmarkEnd w:id="1"/>
      <w:r>
        <w:rPr>
          <w:sz w:val="22"/>
        </w:rPr>
        <w:tab/>
      </w:r>
    </w:p>
    <w:p>
      <w:pPr>
        <w:pStyle w:val="Body"/>
        <w:ind w:firstLine="558" w:start="90" w:end="720"/>
        <w:jc w:val="both"/>
        <w:rPr>
          <w:sz w:val="22"/>
        </w:rPr>
      </w:pPr>
      <w:r>
        <w:rPr>
          <w:sz w:val="22"/>
        </w:rPr>
        <w:t>Trena, as you have requested, this memorandum will discuss in very general terms issues relating to membership in a U.S. regulated commodity exchange.</w:t>
      </w:r>
    </w:p>
    <w:p>
      <w:pPr>
        <w:pStyle w:val="Body"/>
        <w:ind w:firstLine="558" w:start="90" w:end="720"/>
        <w:jc w:val="both"/>
        <w:rPr>
          <w:sz w:val="22"/>
        </w:rPr>
      </w:pPr>
      <w:r>
        <w:rPr>
          <w:sz w:val="22"/>
        </w:rPr>
      </w:r>
    </w:p>
    <w:p>
      <w:pPr>
        <w:pStyle w:val="Body"/>
        <w:ind w:firstLine="558" w:start="90" w:end="720"/>
        <w:jc w:val="both"/>
        <w:rPr/>
      </w:pPr>
      <w:r>
        <w:rPr>
          <w:b/>
          <w:bCs/>
          <w:sz w:val="22"/>
          <w:u w:val="single"/>
        </w:rPr>
        <w:t>Clearing Membership</w:t>
      </w:r>
      <w:r>
        <w:rPr>
          <w:b/>
          <w:bCs/>
          <w:sz w:val="22"/>
        </w:rPr>
        <w:t>.</w:t>
      </w:r>
      <w:r>
        <w:rPr>
          <w:sz w:val="22"/>
        </w:rPr>
        <w:t xml:space="preserve">  A “clearing” member participates in the clearing function of an exchange.  This function is to match all equal and opposite short and long positions, and, essentially, to act as a guarantor that all obligations pursuant to such positions will be fulfilled.</w:t>
      </w:r>
    </w:p>
    <w:p>
      <w:pPr>
        <w:pStyle w:val="Body"/>
        <w:ind w:firstLine="558" w:start="90" w:end="720"/>
        <w:jc w:val="both"/>
        <w:rPr>
          <w:sz w:val="22"/>
        </w:rPr>
      </w:pPr>
      <w:r>
        <w:rPr>
          <w:sz w:val="22"/>
        </w:rPr>
      </w:r>
    </w:p>
    <w:p>
      <w:pPr>
        <w:pStyle w:val="Body"/>
        <w:ind w:firstLine="558" w:start="90" w:end="720"/>
        <w:jc w:val="both"/>
        <w:rPr>
          <w:sz w:val="22"/>
        </w:rPr>
      </w:pPr>
      <w:r>
        <w:rPr>
          <w:sz w:val="22"/>
        </w:rPr>
        <w:t>If, for example, a buyer (or “long” position) keeps its position open until settlement, and then defaults (i.e., fails to pay a financial settlement owed or  to take physical delivery), the clearing entity of the exchange will be liable for the default.  In most major commodity exchanges, the clearing entity actually “gets between” each buyer and seller under a futures contract and has direct contractual liability to each party.   On the major exchanges, this liability is typically diluted among hundreds of clearing members shielded by a single corporate clearing entity.</w:t>
      </w:r>
    </w:p>
    <w:p>
      <w:pPr>
        <w:pStyle w:val="Body"/>
        <w:ind w:firstLine="558" w:start="90" w:end="720"/>
        <w:jc w:val="both"/>
        <w:rPr>
          <w:sz w:val="22"/>
        </w:rPr>
      </w:pPr>
      <w:r>
        <w:rPr>
          <w:sz w:val="22"/>
        </w:rPr>
      </w:r>
    </w:p>
    <w:p>
      <w:pPr>
        <w:pStyle w:val="Body"/>
        <w:ind w:firstLine="558" w:start="90" w:end="720"/>
        <w:jc w:val="both"/>
        <w:rPr>
          <w:sz w:val="22"/>
        </w:rPr>
      </w:pPr>
      <w:r>
        <w:rPr>
          <w:sz w:val="22"/>
        </w:rPr>
        <w:t>This discussion will assume that the clearing member is also a “futures commission merchant” (i.e., a broker handling third party accounts) licensed by the Commodity Futures Trading Commission (the “’CFTC”).  There are two main areas of concern relating to “futures commission merchant” (“FCM”) liability: the potential for conflict of interest, and the potential for regulatory violations.</w:t>
      </w:r>
    </w:p>
    <w:p>
      <w:pPr>
        <w:pStyle w:val="Body"/>
        <w:ind w:firstLine="558" w:start="90" w:end="720"/>
        <w:jc w:val="both"/>
        <w:rPr>
          <w:sz w:val="22"/>
        </w:rPr>
      </w:pPr>
      <w:r>
        <w:rPr>
          <w:sz w:val="22"/>
        </w:rPr>
      </w:r>
    </w:p>
    <w:p>
      <w:pPr>
        <w:pStyle w:val="Body"/>
        <w:ind w:firstLine="558" w:start="90" w:end="720"/>
        <w:jc w:val="both"/>
        <w:rPr/>
      </w:pPr>
      <w:r>
        <w:rPr>
          <w:sz w:val="22"/>
        </w:rPr>
        <w:t xml:space="preserve">A company involved both in over-the-counter (“OTC”) derivatives market-making </w:t>
      </w:r>
      <w:r>
        <w:rPr>
          <w:sz w:val="22"/>
          <w:u w:val="single"/>
        </w:rPr>
        <w:t>and</w:t>
      </w:r>
      <w:r>
        <w:rPr>
          <w:sz w:val="22"/>
        </w:rPr>
        <w:t xml:space="preserve"> a licensed FCM business faces potential conflict-of-interest problems.  Obviously, many large financial institutions are engaged in both, and typically “wall off” the licensed brokerage function from the OTC function.  Such safeguards, even if executed very well, do not make a company immune to allegations or perceptions of improper information-sharing between the OTC dealer and licensed broker.  There are also potential conflict-of-interest claims unrelated to improper information-sharing. For example, a brokerage customer could argue a certain position (especially a “market-moving” position) taken by the broker’s OTC affiliate breaches a fiduciary duty arising under the broker/customer relationship.  A counterparty might also refuse to pay an OTC “out-of-the-money” position based on its customer relationship with the OTC dealer’s broker affiliate (especially if the broker offers market advice to the customer, which often occurs in broker/customer relationships).  Even if such claims are not ultimately successful, they can (and have, in some cases) resulted in expensive and time-consuming litigation, during which time a dealer’s trading book can be thrown into uncertainty if certain trades are being challenged.</w:t>
      </w:r>
    </w:p>
    <w:p>
      <w:pPr>
        <w:pStyle w:val="Body"/>
        <w:ind w:firstLine="558" w:start="90" w:end="720"/>
        <w:jc w:val="both"/>
        <w:rPr>
          <w:sz w:val="22"/>
        </w:rPr>
      </w:pPr>
      <w:r>
        <w:rPr>
          <w:sz w:val="22"/>
        </w:rPr>
      </w:r>
    </w:p>
    <w:p>
      <w:pPr>
        <w:pStyle w:val="Body"/>
        <w:ind w:firstLine="558" w:start="90" w:end="720"/>
        <w:jc w:val="both"/>
        <w:rPr>
          <w:sz w:val="22"/>
        </w:rPr>
      </w:pPr>
      <w:r>
        <w:rPr>
          <w:sz w:val="22"/>
        </w:rPr>
        <w:t>Beyond the legal considerations, there is also the possibility of perception – real or imagined – of improper information-sharing between the OTC function and the licensed broker function.  Such perceptions may lead many OTC counterparties to conclude that, all other things being equal, an OTC dealer without an affiliated brokerage business is preferable to the alternative.</w:t>
      </w:r>
    </w:p>
    <w:p>
      <w:pPr>
        <w:pStyle w:val="Body"/>
        <w:ind w:firstLine="558" w:start="90" w:end="720"/>
        <w:jc w:val="both"/>
        <w:rPr>
          <w:sz w:val="22"/>
        </w:rPr>
      </w:pPr>
      <w:r>
        <w:rPr>
          <w:sz w:val="22"/>
        </w:rPr>
      </w:r>
    </w:p>
    <w:p>
      <w:pPr>
        <w:pStyle w:val="Body"/>
        <w:ind w:firstLine="558" w:start="90" w:end="720"/>
        <w:jc w:val="both"/>
        <w:rPr/>
      </w:pPr>
      <w:r>
        <w:rPr>
          <w:sz w:val="22"/>
        </w:rPr>
        <w:t>On the regulatory side, FCM’s are subject to numerous CFTC regulations relating to market manipulation, record-keeping, disclosure and segregation of customer funds, among other areas.  The regulations require licensing of not only the corporate entity but many individuals involved in the brokering and floor-trading activities.  Compliance with these regulations requires an infrastructure of employees, training and procedures that an OTC dealer is not required to maintain.   A review of the “Enforcement Press Releases” on the CFTC’s website (</w:t>
      </w:r>
      <w:hyperlink r:id="rId3">
        <w:r>
          <w:rPr>
            <w:rStyle w:val="Hyperlink"/>
            <w:sz w:val="22"/>
          </w:rPr>
          <w:t>www.cftc.gov</w:t>
        </w:r>
      </w:hyperlink>
      <w:r>
        <w:rPr>
          <w:sz w:val="22"/>
        </w:rPr>
        <w:t xml:space="preserve">) reveals that not even the largest and most reputable financial institutions are immune from infractions of the FCM regulations.  In many cases, a simple failure by a clerical employee to follow procedures (without any evidence of fraudulent intent or other wrongdoing) can result in an embarrassing public citation. </w:t>
      </w:r>
    </w:p>
    <w:p>
      <w:pPr>
        <w:pStyle w:val="Body"/>
        <w:ind w:firstLine="558" w:start="90" w:end="720"/>
        <w:jc w:val="both"/>
        <w:rPr>
          <w:sz w:val="22"/>
        </w:rPr>
      </w:pPr>
      <w:r>
        <w:rPr>
          <w:sz w:val="22"/>
        </w:rPr>
      </w:r>
    </w:p>
    <w:p>
      <w:pPr>
        <w:pStyle w:val="Body"/>
        <w:ind w:firstLine="558" w:start="90" w:end="720"/>
        <w:jc w:val="both"/>
        <w:rPr/>
      </w:pPr>
      <w:r>
        <w:rPr>
          <w:b/>
          <w:bCs/>
          <w:sz w:val="22"/>
          <w:u w:val="single"/>
        </w:rPr>
        <w:t>Non-Clearing Membership</w:t>
      </w:r>
      <w:r>
        <w:rPr>
          <w:b/>
          <w:bCs/>
          <w:sz w:val="22"/>
        </w:rPr>
        <w:t xml:space="preserve">.  </w:t>
      </w:r>
      <w:r>
        <w:rPr>
          <w:sz w:val="22"/>
        </w:rPr>
        <w:t>As the term suggests, non-clearing members do not participate in an exchange’s clearing activities, and therefore such a membership does not entail clearing liability.  By its nature, a non-clearing membership also does not involve the execution of trades for the account of third parties.  In these respects, non-clearing memberships entail less risk of liability than clearing memberships.  However, there are still exchange rules applicable to non-clearing members that require some degree of a compliance function.  There is also the potential for non-clearing liability, e.g., in the event of some catastrophic liability applying to the entire exchange, contribution could conceivably be sought from any and all members (especially if all members are also owners of the exchange, which is still the case with all of the major U.S. commodity exchanges).</w:t>
      </w:r>
    </w:p>
    <w:p>
      <w:pPr>
        <w:pStyle w:val="Body"/>
        <w:ind w:firstLine="558" w:start="90" w:end="720"/>
        <w:jc w:val="both"/>
        <w:rPr>
          <w:sz w:val="22"/>
        </w:rPr>
      </w:pPr>
      <w:r>
        <w:rPr>
          <w:sz w:val="22"/>
        </w:rPr>
      </w:r>
    </w:p>
    <w:p>
      <w:pPr>
        <w:pStyle w:val="Body"/>
        <w:ind w:firstLine="558" w:start="90" w:end="720"/>
        <w:jc w:val="both"/>
        <w:rPr>
          <w:sz w:val="22"/>
        </w:rPr>
      </w:pPr>
      <w:r>
        <w:rPr>
          <w:sz w:val="22"/>
        </w:rPr>
        <w:t>A downside to non-clearing membership (vis-à-vis clearing membership) is that non-clearing members must execute trades through clearing members and pay the resulting commissions (whereas a clearing member wishing to trade for its own account could execute the trade directly without paying a brokerage commission).</w:t>
      </w:r>
    </w:p>
    <w:p>
      <w:pPr>
        <w:pStyle w:val="Body"/>
        <w:ind w:firstLine="558" w:start="90" w:end="720"/>
        <w:jc w:val="both"/>
        <w:rPr>
          <w:sz w:val="22"/>
        </w:rPr>
      </w:pPr>
      <w:r>
        <w:rPr>
          <w:sz w:val="22"/>
        </w:rPr>
      </w:r>
    </w:p>
    <w:p>
      <w:pPr>
        <w:pStyle w:val="Body"/>
        <w:ind w:end="720"/>
        <w:jc w:val="both"/>
        <w:rPr>
          <w:sz w:val="22"/>
        </w:rPr>
      </w:pPr>
      <w:r>
        <w:rPr>
          <w:sz w:val="22"/>
        </w:rPr>
        <w:tab/>
        <w:t xml:space="preserve">As you know, Enron is a non-clearing member of the New York Mercantile Exchange (the “NYMEX”), and has held this membership since before our acquisition of MG brought us clearing memberships on the NYMEX and COMEX.    Enron’s involvement in the energy business, physically and financially, is of such a large scale that at times there may be a large number of energy contracts that we do not mind trading in public view.  Moreover, we have found exchange membership to be beneficial (although probably not critical) from a standpoint of market information.  In general, non-clearing memberships have tended to make sense for companies that are heavily involved in the underlying commodities being traded, to the extent that the high visibility entailed in exchange membership is unobjectionable, or perhaps even desirable.   </w:t>
        <w:tab/>
      </w:r>
    </w:p>
    <w:p>
      <w:pPr>
        <w:pStyle w:val="Body"/>
        <w:ind w:firstLine="558" w:start="90" w:end="720"/>
        <w:jc w:val="both"/>
        <w:rPr>
          <w:sz w:val="22"/>
        </w:rPr>
      </w:pPr>
      <w:r>
        <w:rPr>
          <w:sz w:val="22"/>
        </w:rPr>
      </w:r>
    </w:p>
    <w:p>
      <w:pPr>
        <w:pStyle w:val="Body"/>
        <w:ind w:firstLine="558" w:start="90" w:end="720"/>
        <w:jc w:val="both"/>
        <w:rPr>
          <w:sz w:val="22"/>
        </w:rPr>
      </w:pPr>
      <w:r>
        <w:rPr>
          <w:sz w:val="22"/>
        </w:rPr>
      </w:r>
    </w:p>
    <w:p>
      <w:pPr>
        <w:pStyle w:val="Body"/>
        <w:ind w:firstLine="558" w:start="90" w:end="720"/>
        <w:jc w:val="both"/>
        <w:rPr>
          <w:sz w:val="22"/>
        </w:rPr>
      </w:pPr>
      <w:r>
        <w:rPr>
          <w:sz w:val="22"/>
        </w:rPr>
        <w:tab/>
        <w:tab/>
        <w:tab/>
        <w:tab/>
        <w:tab/>
        <w:tab/>
        <w:tab/>
        <w:tab/>
        <w:tab/>
        <w:tab/>
        <w:t xml:space="preserve">REB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/mnt/main-storage/datasets/enron-docs/doc/McFarland_021201.doc</w:t>
    </w:r>
    <w:r>
      <w:rPr>
        <w:sz w:val="12"/>
      </w:rPr>
      <w:fldChar w:fldCharType="end"/>
    </w:r>
  </w:p>
  <w:p>
    <w:pPr>
      <w:pStyle w:val="Footer"/>
      <w:tabs>
        <w:tab w:val="clear" w:pos="4320"/>
        <w:tab w:val="left" w:pos="3780" w:leader="none"/>
        <w:tab w:val="center" w:pos="7560" w:leader="none"/>
        <w:tab w:val="right" w:pos="8640" w:leader="none"/>
      </w:tabs>
      <w:rPr>
        <w:sz w:val="12"/>
      </w:rPr>
    </w:pPr>
    <w:r>
      <w:rPr>
        <w:sz w:val="12"/>
      </w:rPr>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/mnt/main-storage/datasets/enron-docs/doc/McFarland_021201.doc</w:t>
    </w:r>
    <w:r>
      <w:rPr>
        <w:sz w:val="12"/>
      </w:rPr>
      <w:fldChar w:fldCharType="end"/>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360" w:leader="none"/>
      </w:tabs>
      <w:rPr/>
    </w:pPr>
    <w:r>
      <w:rPr>
        <w:sz w:val="20"/>
      </w:rPr>
      <w:tab/>
    </w:r>
    <w:r>
      <w:rPr>
        <w:b/>
        <w:smallCaps/>
        <w:sz w:val="20"/>
      </w:rPr>
      <w:t>Privileged and Confidential;</w:t>
    </w:r>
  </w:p>
  <w:p>
    <w:pPr>
      <w:pStyle w:val="Header"/>
      <w:tabs>
        <w:tab w:val="clear" w:pos="4320"/>
        <w:tab w:val="clear" w:pos="8640"/>
        <w:tab w:val="right" w:pos="9360" w:leader="none"/>
      </w:tabs>
      <w:rPr>
        <w:sz w:val="20"/>
      </w:rPr>
    </w:pPr>
    <w:r>
      <w:rPr>
        <w:sz w:val="20"/>
      </w:rPr>
      <w:fldChar w:fldCharType="begin"/>
    </w:r>
    <w:r>
      <w:rPr>
        <w:sz w:val="20"/>
      </w:rPr>
      <w:instrText xml:space="preserve"> DATE \@"MMMM\ d', 'yyyy" </w:instrText>
    </w:r>
    <w:r>
      <w:rPr>
        <w:sz w:val="20"/>
      </w:rPr>
      <w:fldChar w:fldCharType="separate"/>
    </w:r>
    <w:r>
      <w:rPr>
        <w:sz w:val="20"/>
      </w:rPr>
      <w:t>September 28, 2025</w:t>
    </w:r>
    <w:r>
      <w:rPr>
        <w:sz w:val="20"/>
      </w:rPr>
      <w:fldChar w:fldCharType="end"/>
    </w:r>
    <w:r>
      <w:rPr>
        <w:sz w:val="20"/>
      </w:rPr>
      <w:tab/>
    </w:r>
    <w:r>
      <w:rPr>
        <w:b/>
        <w:smallCaps/>
        <w:sz w:val="20"/>
      </w:rPr>
      <w:t>Attorney Client Work Product;</w:t>
    </w:r>
  </w:p>
  <w:p>
    <w:pPr>
      <w:pStyle w:val="Header"/>
      <w:tabs>
        <w:tab w:val="clear" w:pos="4320"/>
        <w:tab w:val="clear" w:pos="8640"/>
        <w:tab w:val="right" w:pos="936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cftc.gov/"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2001-02-12T17:24:00Z</dcterms:created>
  <dc:creator>Jeff Ford</dc:creator>
  <dc:description/>
  <dc:language>en-CA</dc:language>
  <cp:lastModifiedBy>rbruce2</cp:lastModifiedBy>
  <cp:lastPrinted>2001-01-10T09:23:00Z</cp:lastPrinted>
  <dcterms:modified xsi:type="dcterms:W3CDTF">2001-02-12T17:31:00Z</dcterms:modified>
  <cp:revision>4</cp:revision>
  <dc:subject>Analysis of ECT's Financial, Power and Gas Forms</dc:subject>
  <dc:title>Eron Capital &amp; Trade Resources Memo</dc:title>
</cp:coreProperties>
</file>