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Curriculum Vitae of</w:t>
      </w:r>
    </w:p>
    <w:p>
      <w:pPr>
        <w:pStyle w:val="BodyText2"/>
        <w:rPr>
          <w:sz w:val="16"/>
        </w:rPr>
      </w:pPr>
      <w:r>
        <w:rPr>
          <w:sz w:val="16"/>
        </w:rPr>
        <w:t>Robert McGrory</w:t>
      </w:r>
    </w:p>
    <w:tbl>
      <w:tblPr>
        <w:tblW w:w="9856" w:type="dxa"/>
        <w:jc w:val="start"/>
        <w:tblInd w:w="0" w:type="dxa"/>
        <w:tblLayout w:type="fixed"/>
        <w:tblCellMar>
          <w:top w:w="0" w:type="dxa"/>
          <w:start w:w="108" w:type="dxa"/>
          <w:bottom w:w="0" w:type="dxa"/>
          <w:end w:w="108" w:type="dxa"/>
        </w:tblCellMar>
      </w:tblPr>
      <w:tblGrid>
        <w:gridCol w:w="1668"/>
        <w:gridCol w:w="8188"/>
      </w:tblGrid>
      <w:tr>
        <w:trPr/>
        <w:tc>
          <w:tcPr>
            <w:tcW w:w="1668" w:type="dxa"/>
            <w:tcBorders/>
          </w:tcPr>
          <w:p>
            <w:pPr>
              <w:pStyle w:val="Normal"/>
              <w:snapToGrid w:val="false"/>
              <w:rPr>
                <w:lang w:val="en-US"/>
              </w:rPr>
            </w:pPr>
            <w:r>
              <w:rPr>
                <w:lang w:val="en-US"/>
              </w:rPr>
            </w:r>
          </w:p>
        </w:tc>
        <w:tc>
          <w:tcPr>
            <w:tcW w:w="8188" w:type="dxa"/>
            <w:tcBorders/>
          </w:tcPr>
          <w:p>
            <w:pPr>
              <w:pStyle w:val="Normal"/>
              <w:snapToGrid w:val="false"/>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t>36/37 Bay Street</w:t>
            </w:r>
          </w:p>
          <w:p>
            <w:pPr>
              <w:pStyle w:val="Normal"/>
              <w:rPr>
                <w:rFonts w:ascii="Times New Roman" w:hAnsi="Times New Roman" w:cs="Times New Roman"/>
                <w:lang w:val="en-US"/>
              </w:rPr>
            </w:pPr>
            <w:r>
              <w:rPr>
                <w:rFonts w:cs="Times New Roman" w:ascii="Times New Roman" w:hAnsi="Times New Roman"/>
                <w:lang w:val="en-US"/>
              </w:rPr>
              <w:t>Sydney  NSW  2037</w:t>
            </w:r>
          </w:p>
          <w:p>
            <w:pPr>
              <w:pStyle w:val="Normal"/>
              <w:rPr/>
            </w:pPr>
            <w:r>
              <w:rPr>
                <w:rFonts w:cs="Times New Roman" w:ascii="Times New Roman" w:hAnsi="Times New Roman"/>
                <w:b/>
                <w:lang w:val="en-US"/>
              </w:rPr>
              <w:t>Phone:</w:t>
            </w:r>
            <w:r>
              <w:rPr>
                <w:rFonts w:cs="Times New Roman" w:ascii="Times New Roman" w:hAnsi="Times New Roman"/>
                <w:lang w:val="en-US"/>
              </w:rPr>
              <w:t xml:space="preserve"> (61 2) 9660 9291</w:t>
            </w:r>
          </w:p>
          <w:p>
            <w:pPr>
              <w:pStyle w:val="Normal"/>
              <w:rPr>
                <w:rFonts w:ascii="Times New Roman" w:hAnsi="Times New Roman" w:cs="Times New Roman"/>
                <w:lang w:val="en-US"/>
              </w:rPr>
            </w:pPr>
            <w:r>
              <w:rPr>
                <w:rFonts w:cs="Times New Roman" w:ascii="Times New Roman" w:hAnsi="Times New Roman"/>
                <w:b/>
                <w:lang w:val="en-US"/>
              </w:rPr>
              <w:t>E-mail:</w:t>
            </w:r>
            <w:r>
              <w:rPr>
                <w:rFonts w:cs="Times New Roman" w:ascii="Times New Roman" w:hAnsi="Times New Roman"/>
                <w:lang w:val="en-US"/>
              </w:rPr>
              <w:t xml:space="preserve"> </w:t>
            </w:r>
            <w:hyperlink r:id="rId2">
              <w:r>
                <w:rPr>
                  <w:rStyle w:val="Hyperlink"/>
                  <w:rFonts w:cs="Times New Roman" w:ascii="Times New Roman" w:hAnsi="Times New Roman"/>
                </w:rPr>
                <w:t>robert.mcgrory@enron.com</w:t>
              </w:r>
            </w:hyperlink>
          </w:p>
          <w:p>
            <w:pPr>
              <w:pStyle w:val="Normal"/>
              <w:rPr/>
            </w:pPr>
            <w:r>
              <w:rPr>
                <w:rFonts w:cs="Times New Roman" w:ascii="Times New Roman" w:hAnsi="Times New Roman"/>
                <w:b/>
                <w:lang w:val="en-US"/>
              </w:rPr>
              <w:t xml:space="preserve">Date of Birth: </w:t>
            </w:r>
            <w:r>
              <w:rPr>
                <w:rFonts w:cs="Times New Roman" w:ascii="Times New Roman" w:hAnsi="Times New Roman"/>
                <w:lang w:val="en-US"/>
              </w:rPr>
              <w:t>21 March 1972</w:t>
            </w:r>
          </w:p>
        </w:tc>
      </w:tr>
    </w:tbl>
    <w:p>
      <w:pPr>
        <w:pStyle w:val="Normal"/>
        <w:pBdr>
          <w:bottom w:val="single" w:sz="12" w:space="1" w:color="000000"/>
        </w:pBdr>
        <w:rPr>
          <w:lang w:val="en-US"/>
        </w:rPr>
      </w:pPr>
      <w:r>
        <w:rPr>
          <w:lang w:val="en-US"/>
        </w:rPr>
      </w:r>
    </w:p>
    <w:p>
      <w:pPr>
        <w:pStyle w:val="Normal"/>
        <w:pBdr>
          <w:bottom w:val="single" w:sz="12" w:space="1" w:color="000000"/>
        </w:pBdr>
        <w:rPr>
          <w:lang w:val="en-US"/>
        </w:rPr>
      </w:pPr>
      <w:r>
        <w:rPr>
          <w:lang w:val="en-US"/>
        </w:rPr>
      </w:r>
    </w:p>
    <w:p>
      <w:pPr>
        <w:pStyle w:val="Normal"/>
        <w:keepNext w:val="true"/>
        <w:pBdr>
          <w:bottom w:val="single" w:sz="12" w:space="1" w:color="000000"/>
        </w:pBdr>
        <w:rPr>
          <w:rFonts w:ascii="Franklin Gothic Heavy" w:hAnsi="Franklin Gothic Heavy" w:cs="Franklin Gothic Heavy"/>
          <w:sz w:val="36"/>
          <w:lang w:val="en-US"/>
        </w:rPr>
      </w:pPr>
      <w:r>
        <w:rPr>
          <w:rFonts w:cs="Franklin Gothic Heavy" w:ascii="Franklin Gothic Heavy" w:hAnsi="Franklin Gothic Heavy"/>
          <w:sz w:val="36"/>
          <w:lang w:val="en-US"/>
        </w:rPr>
        <w:t>Education</w:t>
      </w:r>
    </w:p>
    <w:p>
      <w:pPr>
        <w:pStyle w:val="Normal"/>
        <w:keepNext w:val="true"/>
        <w:rPr>
          <w:rFonts w:ascii="Franklin Gothic Heavy" w:hAnsi="Franklin Gothic Heavy" w:cs="Franklin Gothic Heavy"/>
          <w:sz w:val="16"/>
          <w:lang w:val="en-US"/>
        </w:rPr>
      </w:pPr>
      <w:r>
        <w:rPr>
          <w:rFonts w:cs="Franklin Gothic Heavy" w:ascii="Franklin Gothic Heavy" w:hAnsi="Franklin Gothic Heavy"/>
          <w:sz w:val="16"/>
          <w:lang w:val="en-US"/>
        </w:rPr>
      </w:r>
    </w:p>
    <w:tbl>
      <w:tblPr>
        <w:tblW w:w="9856" w:type="dxa"/>
        <w:jc w:val="start"/>
        <w:tblInd w:w="0" w:type="dxa"/>
        <w:tblLayout w:type="fixed"/>
        <w:tblCellMar>
          <w:top w:w="0" w:type="dxa"/>
          <w:start w:w="108" w:type="dxa"/>
          <w:bottom w:w="0" w:type="dxa"/>
          <w:end w:w="108" w:type="dxa"/>
        </w:tblCellMar>
      </w:tblPr>
      <w:tblGrid>
        <w:gridCol w:w="1668"/>
        <w:gridCol w:w="1275"/>
        <w:gridCol w:w="6913"/>
      </w:tblGrid>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2000</w:t>
            </w:r>
          </w:p>
        </w:tc>
        <w:tc>
          <w:tcPr>
            <w:tcW w:w="8188" w:type="dxa"/>
            <w:gridSpan w:val="2"/>
            <w:tcBorders/>
          </w:tcPr>
          <w:p>
            <w:pPr>
              <w:pStyle w:val="Normal"/>
              <w:rPr/>
            </w:pPr>
            <w:r>
              <w:rPr>
                <w:rFonts w:cs="Franklin Gothic Heavy" w:ascii="Franklin Gothic Heavy" w:hAnsi="Franklin Gothic Heavy"/>
                <w:sz w:val="22"/>
                <w:lang w:val="en-US"/>
              </w:rPr>
              <w:t>Master of Laws</w:t>
            </w:r>
            <w:r>
              <w:rPr>
                <w:rFonts w:cs="Times New Roman" w:ascii="Times New Roman" w:hAnsi="Times New Roman"/>
                <w:sz w:val="22"/>
                <w:lang w:val="en-US"/>
              </w:rPr>
              <w:t xml:space="preserve"> </w:t>
            </w:r>
          </w:p>
          <w:p>
            <w:pPr>
              <w:pStyle w:val="Normal"/>
              <w:spacing w:before="0" w:after="120"/>
              <w:rPr>
                <w:sz w:val="22"/>
                <w:lang w:val="en-US"/>
              </w:rPr>
            </w:pPr>
            <w:r>
              <w:rPr>
                <w:rFonts w:cs="Times New Roman" w:ascii="Times New Roman" w:hAnsi="Times New Roman"/>
                <w:sz w:val="22"/>
                <w:lang w:val="en-US"/>
              </w:rPr>
              <w:t>Queensland University of Technology - Course Grade Point Average is 6.</w:t>
            </w:r>
          </w:p>
        </w:tc>
      </w:tr>
      <w:tr>
        <w:trPr/>
        <w:tc>
          <w:tcPr>
            <w:tcW w:w="1668" w:type="dxa"/>
            <w:tcBorders/>
          </w:tcPr>
          <w:p>
            <w:pPr>
              <w:pStyle w:val="Normal"/>
              <w:snapToGrid w:val="false"/>
              <w:rPr>
                <w:rFonts w:ascii="Times New Roman" w:hAnsi="Times New Roman" w:cs="Times New Roman"/>
                <w:sz w:val="22"/>
                <w:lang w:val="en-US"/>
              </w:rPr>
            </w:pPr>
            <w:r>
              <w:rPr>
                <w:rFonts w:cs="Times New Roman" w:ascii="Times New Roman" w:hAnsi="Times New Roman"/>
                <w:sz w:val="22"/>
                <w:lang w:val="en-US"/>
              </w:rPr>
            </w:r>
          </w:p>
        </w:tc>
        <w:tc>
          <w:tcPr>
            <w:tcW w:w="1275" w:type="dxa"/>
            <w:tcBorders/>
          </w:tcPr>
          <w:p>
            <w:pPr>
              <w:pStyle w:val="Normal"/>
              <w:rPr>
                <w:rFonts w:ascii="Times New Roman" w:hAnsi="Times New Roman" w:cs="Times New Roman"/>
                <w:b/>
                <w:i/>
                <w:i/>
                <w:sz w:val="22"/>
                <w:lang w:val="en-US"/>
              </w:rPr>
            </w:pPr>
            <w:r>
              <w:rPr>
                <w:rFonts w:cs="Times New Roman" w:ascii="Times New Roman" w:hAnsi="Times New Roman"/>
                <w:b/>
                <w:i/>
                <w:sz w:val="22"/>
                <w:lang w:val="en-US"/>
              </w:rPr>
              <w:t>Results:</w:t>
            </w:r>
          </w:p>
        </w:tc>
        <w:tc>
          <w:tcPr>
            <w:tcW w:w="6913" w:type="dxa"/>
            <w:tcBorders/>
          </w:tcPr>
          <w:p>
            <w:pPr>
              <w:pStyle w:val="Normal"/>
              <w:numPr>
                <w:ilvl w:val="0"/>
                <w:numId w:val="2"/>
              </w:numPr>
              <w:rPr>
                <w:rFonts w:ascii="Times New Roman" w:hAnsi="Times New Roman" w:cs="Times New Roman"/>
                <w:sz w:val="22"/>
                <w:lang w:val="en-US"/>
              </w:rPr>
            </w:pPr>
            <w:r>
              <w:rPr>
                <w:rFonts w:cs="Times New Roman" w:ascii="Times New Roman" w:hAnsi="Times New Roman"/>
                <w:sz w:val="22"/>
                <w:lang w:val="en-US"/>
              </w:rPr>
              <w:t>Restrictive Trade Practices</w:t>
              <w:tab/>
              <w:tab/>
              <w:tab/>
              <w:t>7</w:t>
            </w:r>
          </w:p>
          <w:p>
            <w:pPr>
              <w:pStyle w:val="Normal"/>
              <w:numPr>
                <w:ilvl w:val="0"/>
                <w:numId w:val="2"/>
              </w:numPr>
              <w:rPr>
                <w:rFonts w:ascii="Times New Roman" w:hAnsi="Times New Roman" w:cs="Times New Roman"/>
                <w:sz w:val="22"/>
                <w:lang w:val="en-US"/>
              </w:rPr>
            </w:pPr>
            <w:r>
              <w:rPr>
                <w:rFonts w:cs="Times New Roman" w:ascii="Times New Roman" w:hAnsi="Times New Roman"/>
                <w:sz w:val="22"/>
                <w:lang w:val="en-US"/>
              </w:rPr>
              <w:t>Contemporary Commercial Legal Issues</w:t>
              <w:tab/>
              <w:t>6</w:t>
            </w:r>
          </w:p>
          <w:p>
            <w:pPr>
              <w:pStyle w:val="Normal"/>
              <w:numPr>
                <w:ilvl w:val="0"/>
                <w:numId w:val="4"/>
              </w:numPr>
              <w:rPr>
                <w:rFonts w:ascii="Times New Roman" w:hAnsi="Times New Roman" w:cs="Times New Roman"/>
                <w:sz w:val="22"/>
                <w:lang w:val="en-US"/>
              </w:rPr>
            </w:pPr>
            <w:r>
              <w:rPr>
                <w:rFonts w:cs="Times New Roman" w:ascii="Times New Roman" w:hAnsi="Times New Roman"/>
                <w:sz w:val="22"/>
                <w:lang w:val="en-US"/>
              </w:rPr>
              <w:t>Engineering and Construction Law</w:t>
              <w:tab/>
              <w:tab/>
              <w:t>6</w:t>
            </w:r>
          </w:p>
          <w:p>
            <w:pPr>
              <w:pStyle w:val="Normal"/>
              <w:numPr>
                <w:ilvl w:val="0"/>
                <w:numId w:val="2"/>
              </w:numPr>
              <w:rPr>
                <w:rFonts w:ascii="Times New Roman" w:hAnsi="Times New Roman" w:cs="Times New Roman"/>
                <w:sz w:val="22"/>
                <w:lang w:val="en-US"/>
              </w:rPr>
            </w:pPr>
            <w:r>
              <w:rPr>
                <w:rFonts w:cs="Times New Roman" w:ascii="Times New Roman" w:hAnsi="Times New Roman"/>
                <w:sz w:val="22"/>
                <w:lang w:val="en-US"/>
              </w:rPr>
              <w:t>Select Issues in Intellectual Property Law</w:t>
              <w:tab/>
              <w:t>6</w:t>
            </w:r>
          </w:p>
          <w:p>
            <w:pPr>
              <w:pStyle w:val="Normal"/>
              <w:numPr>
                <w:ilvl w:val="0"/>
                <w:numId w:val="4"/>
              </w:numPr>
              <w:rPr>
                <w:rFonts w:ascii="Times New Roman" w:hAnsi="Times New Roman" w:cs="Times New Roman"/>
                <w:sz w:val="22"/>
                <w:lang w:val="en-US"/>
              </w:rPr>
            </w:pPr>
            <w:r>
              <w:rPr>
                <w:rFonts w:cs="Times New Roman" w:ascii="Times New Roman" w:hAnsi="Times New Roman"/>
                <w:sz w:val="22"/>
                <w:lang w:val="en-US"/>
              </w:rPr>
              <w:t>Consumer Protection and Product Liability</w:t>
              <w:tab/>
              <w:t>6</w:t>
            </w:r>
          </w:p>
          <w:p>
            <w:pPr>
              <w:pStyle w:val="Normal"/>
              <w:numPr>
                <w:ilvl w:val="0"/>
                <w:numId w:val="2"/>
              </w:numPr>
              <w:rPr>
                <w:rFonts w:ascii="Times New Roman" w:hAnsi="Times New Roman" w:cs="Times New Roman"/>
                <w:sz w:val="22"/>
                <w:lang w:val="en-US"/>
              </w:rPr>
            </w:pPr>
            <w:r>
              <w:rPr>
                <w:rFonts w:cs="Times New Roman" w:ascii="Times New Roman" w:hAnsi="Times New Roman"/>
                <w:sz w:val="22"/>
                <w:lang w:val="en-US"/>
              </w:rPr>
              <w:t>Legal Education</w:t>
              <w:tab/>
              <w:tab/>
              <w:tab/>
              <w:tab/>
              <w:t>6</w:t>
            </w:r>
          </w:p>
          <w:p>
            <w:pPr>
              <w:pStyle w:val="Normal"/>
              <w:numPr>
                <w:ilvl w:val="0"/>
                <w:numId w:val="2"/>
              </w:numPr>
              <w:rPr>
                <w:rFonts w:ascii="Times New Roman" w:hAnsi="Times New Roman" w:cs="Times New Roman"/>
                <w:sz w:val="22"/>
                <w:lang w:val="en-US"/>
              </w:rPr>
            </w:pPr>
            <w:r>
              <w:rPr>
                <w:rFonts w:cs="Times New Roman" w:ascii="Times New Roman" w:hAnsi="Times New Roman"/>
                <w:sz w:val="22"/>
                <w:lang w:val="en-US"/>
              </w:rPr>
              <w:t>Environmental Legal Systems</w:t>
              <w:tab/>
              <w:tab/>
              <w:t>5</w:t>
            </w:r>
          </w:p>
          <w:p>
            <w:pPr>
              <w:pStyle w:val="Normal"/>
              <w:rPr>
                <w:rFonts w:ascii="Times New Roman" w:hAnsi="Times New Roman" w:cs="Times New Roman"/>
                <w:sz w:val="22"/>
                <w:lang w:val="en-US"/>
              </w:rPr>
            </w:pPr>
            <w:r>
              <w:rPr>
                <w:rFonts w:cs="Times New Roman" w:ascii="Times New Roman" w:hAnsi="Times New Roman"/>
                <w:sz w:val="22"/>
                <w:lang w:val="en-US"/>
              </w:rPr>
            </w:r>
          </w:p>
          <w:p>
            <w:pPr>
              <w:pStyle w:val="Normal"/>
              <w:rPr>
                <w:rFonts w:ascii="Times New Roman" w:hAnsi="Times New Roman" w:cs="Times New Roman"/>
                <w:i/>
                <w:i/>
                <w:iCs/>
                <w:sz w:val="22"/>
                <w:lang w:val="en-US"/>
              </w:rPr>
            </w:pPr>
            <w:r>
              <w:rPr>
                <w:rFonts w:cs="Times New Roman" w:ascii="Times New Roman" w:hAnsi="Times New Roman"/>
                <w:i/>
                <w:iCs/>
                <w:sz w:val="22"/>
                <w:lang w:val="en-US"/>
              </w:rPr>
              <w:t>(nb: QUT has a 7 point grading system, with 7 representing the highest grade and 1 the lowest).</w:t>
            </w:r>
          </w:p>
        </w:tc>
      </w:tr>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1995</w:t>
            </w:r>
          </w:p>
        </w:tc>
        <w:tc>
          <w:tcPr>
            <w:tcW w:w="8188" w:type="dxa"/>
            <w:gridSpan w:val="2"/>
            <w:tcBorders/>
          </w:tcPr>
          <w:p>
            <w:pPr>
              <w:pStyle w:val="Normal"/>
              <w:rPr/>
            </w:pPr>
            <w:r>
              <w:rPr>
                <w:rFonts w:cs="Times New Roman" w:ascii="Times New Roman" w:hAnsi="Times New Roman"/>
                <w:b/>
                <w:sz w:val="22"/>
                <w:lang w:val="en-US"/>
              </w:rPr>
              <w:t>Admitted to practice a</w:t>
            </w:r>
            <w:r>
              <w:rPr>
                <w:rFonts w:cs="Times New Roman" w:ascii="Times New Roman" w:hAnsi="Times New Roman"/>
                <w:sz w:val="22"/>
                <w:lang w:val="en-US"/>
              </w:rPr>
              <w:t>s a Solicitor of the Supreme Court of Queensland</w:t>
            </w:r>
          </w:p>
          <w:p>
            <w:pPr>
              <w:pStyle w:val="Normal"/>
              <w:rPr>
                <w:rFonts w:ascii="Times New Roman" w:hAnsi="Times New Roman" w:cs="Times New Roman"/>
                <w:sz w:val="22"/>
                <w:lang w:val="en-US"/>
              </w:rPr>
            </w:pPr>
            <w:r>
              <w:rPr>
                <w:rFonts w:cs="Times New Roman" w:ascii="Times New Roman" w:hAnsi="Times New Roman"/>
                <w:sz w:val="22"/>
                <w:lang w:val="en-US"/>
              </w:rPr>
            </w:r>
          </w:p>
        </w:tc>
      </w:tr>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1995</w:t>
            </w:r>
          </w:p>
        </w:tc>
        <w:tc>
          <w:tcPr>
            <w:tcW w:w="8188" w:type="dxa"/>
            <w:gridSpan w:val="2"/>
            <w:tcBorders/>
          </w:tcPr>
          <w:p>
            <w:pPr>
              <w:pStyle w:val="Normal"/>
              <w:rPr>
                <w:rFonts w:ascii="Times New Roman" w:hAnsi="Times New Roman" w:cs="Times New Roman"/>
                <w:sz w:val="22"/>
                <w:lang w:val="en-US"/>
              </w:rPr>
            </w:pPr>
            <w:r>
              <w:rPr>
                <w:rFonts w:cs="Franklin Gothic Heavy" w:ascii="Franklin Gothic Heavy" w:hAnsi="Franklin Gothic Heavy"/>
                <w:sz w:val="22"/>
                <w:lang w:val="en-US"/>
              </w:rPr>
              <w:t>Graduate Diploma in Legal Practice</w:t>
            </w:r>
          </w:p>
          <w:p>
            <w:pPr>
              <w:pStyle w:val="Normal"/>
              <w:rPr>
                <w:rFonts w:ascii="Times New Roman" w:hAnsi="Times New Roman" w:cs="Times New Roman"/>
                <w:sz w:val="22"/>
                <w:lang w:val="en-US"/>
              </w:rPr>
            </w:pPr>
            <w:r>
              <w:rPr>
                <w:rFonts w:cs="Times New Roman" w:ascii="Times New Roman" w:hAnsi="Times New Roman"/>
                <w:sz w:val="22"/>
                <w:lang w:val="en-US"/>
              </w:rPr>
              <w:t>Queensland University of Technology</w:t>
            </w:r>
          </w:p>
          <w:p>
            <w:pPr>
              <w:pStyle w:val="Normal"/>
              <w:rPr>
                <w:rFonts w:ascii="Times New Roman" w:hAnsi="Times New Roman" w:cs="Times New Roman"/>
                <w:sz w:val="22"/>
                <w:lang w:val="en-US"/>
              </w:rPr>
            </w:pPr>
            <w:r>
              <w:rPr>
                <w:rFonts w:cs="Times New Roman" w:ascii="Times New Roman" w:hAnsi="Times New Roman"/>
                <w:sz w:val="22"/>
                <w:lang w:val="en-US"/>
              </w:rPr>
            </w:r>
          </w:p>
        </w:tc>
      </w:tr>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1990 - 1994</w:t>
            </w:r>
          </w:p>
        </w:tc>
        <w:tc>
          <w:tcPr>
            <w:tcW w:w="8188" w:type="dxa"/>
            <w:gridSpan w:val="2"/>
            <w:tcBorders/>
          </w:tcPr>
          <w:p>
            <w:pPr>
              <w:pStyle w:val="Normal"/>
              <w:rPr>
                <w:rFonts w:ascii="Times New Roman" w:hAnsi="Times New Roman" w:cs="Times New Roman"/>
                <w:sz w:val="22"/>
                <w:lang w:val="en-US"/>
              </w:rPr>
            </w:pPr>
            <w:r>
              <w:rPr>
                <w:rFonts w:cs="Franklin Gothic Heavy" w:ascii="Franklin Gothic Heavy" w:hAnsi="Franklin Gothic Heavy"/>
                <w:sz w:val="22"/>
                <w:lang w:val="en-US"/>
              </w:rPr>
              <w:t>Bachelor of Business (Accountancy) / Bachelor of Laws</w:t>
            </w:r>
          </w:p>
          <w:p>
            <w:pPr>
              <w:pStyle w:val="Normal"/>
              <w:rPr>
                <w:rFonts w:ascii="Times New Roman" w:hAnsi="Times New Roman" w:cs="Times New Roman"/>
                <w:sz w:val="22"/>
                <w:lang w:val="en-US"/>
              </w:rPr>
            </w:pPr>
            <w:r>
              <w:rPr>
                <w:rFonts w:cs="Times New Roman" w:ascii="Times New Roman" w:hAnsi="Times New Roman"/>
                <w:sz w:val="22"/>
                <w:lang w:val="en-US"/>
              </w:rPr>
              <w:t>Queensland University of Technology</w:t>
            </w:r>
          </w:p>
          <w:p>
            <w:pPr>
              <w:pStyle w:val="Normal"/>
              <w:rPr>
                <w:rFonts w:ascii="Times New Roman" w:hAnsi="Times New Roman" w:cs="Times New Roman"/>
                <w:sz w:val="22"/>
                <w:lang w:val="en-US"/>
              </w:rPr>
            </w:pPr>
            <w:r>
              <w:rPr>
                <w:rFonts w:cs="Times New Roman" w:ascii="Times New Roman" w:hAnsi="Times New Roman"/>
                <w:sz w:val="22"/>
                <w:lang w:val="en-US"/>
              </w:rPr>
            </w:r>
          </w:p>
        </w:tc>
      </w:tr>
    </w:tbl>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keepNext w:val="true"/>
        <w:pBdr>
          <w:bottom w:val="single" w:sz="12" w:space="1" w:color="000000"/>
        </w:pBdr>
        <w:rPr>
          <w:rFonts w:ascii="Franklin Gothic Heavy" w:hAnsi="Franklin Gothic Heavy" w:cs="Franklin Gothic Heavy"/>
          <w:sz w:val="36"/>
          <w:lang w:val="en-US"/>
        </w:rPr>
      </w:pPr>
      <w:r>
        <w:rPr>
          <w:rFonts w:cs="Franklin Gothic Heavy" w:ascii="Franklin Gothic Heavy" w:hAnsi="Franklin Gothic Heavy"/>
          <w:sz w:val="36"/>
          <w:lang w:val="en-US"/>
        </w:rPr>
        <w:t>Awards and Courses</w:t>
      </w:r>
    </w:p>
    <w:p>
      <w:pPr>
        <w:pStyle w:val="Normal"/>
        <w:keepNext w:val="true"/>
        <w:rPr>
          <w:rFonts w:ascii="Franklin Gothic Heavy" w:hAnsi="Franklin Gothic Heavy" w:cs="Franklin Gothic Heavy"/>
          <w:sz w:val="16"/>
          <w:lang w:val="en-US"/>
        </w:rPr>
      </w:pPr>
      <w:r>
        <w:rPr>
          <w:rFonts w:cs="Franklin Gothic Heavy" w:ascii="Franklin Gothic Heavy" w:hAnsi="Franklin Gothic Heavy"/>
          <w:sz w:val="16"/>
          <w:lang w:val="en-US"/>
        </w:rPr>
      </w:r>
    </w:p>
    <w:tbl>
      <w:tblPr>
        <w:tblW w:w="9856" w:type="dxa"/>
        <w:jc w:val="start"/>
        <w:tblInd w:w="0" w:type="dxa"/>
        <w:tblLayout w:type="fixed"/>
        <w:tblCellMar>
          <w:top w:w="0" w:type="dxa"/>
          <w:start w:w="108" w:type="dxa"/>
          <w:bottom w:w="0" w:type="dxa"/>
          <w:end w:w="108" w:type="dxa"/>
        </w:tblCellMar>
      </w:tblPr>
      <w:tblGrid>
        <w:gridCol w:w="1668"/>
        <w:gridCol w:w="8188"/>
      </w:tblGrid>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2001</w:t>
            </w:r>
          </w:p>
        </w:tc>
        <w:tc>
          <w:tcPr>
            <w:tcW w:w="8188" w:type="dxa"/>
            <w:tcBorders/>
          </w:tcPr>
          <w:p>
            <w:pPr>
              <w:pStyle w:val="Normal"/>
              <w:keepNext w:val="true"/>
              <w:rPr/>
            </w:pPr>
            <w:r>
              <w:rPr>
                <w:rFonts w:cs="Times New Roman" w:ascii="Times New Roman" w:hAnsi="Times New Roman"/>
                <w:b/>
                <w:bCs/>
                <w:sz w:val="22"/>
                <w:lang w:val="en-US"/>
              </w:rPr>
              <w:t xml:space="preserve">ISDA Seminar </w:t>
            </w:r>
            <w:r>
              <w:rPr>
                <w:rFonts w:cs="Times New Roman" w:ascii="Times New Roman" w:hAnsi="Times New Roman"/>
                <w:sz w:val="22"/>
                <w:lang w:val="en-US"/>
              </w:rPr>
              <w:t>“Collateral Arrangement and the ISDA Credit Support Documents”</w:t>
            </w:r>
          </w:p>
          <w:p>
            <w:pPr>
              <w:pStyle w:val="Normal"/>
              <w:keepNext w:val="true"/>
              <w:rPr>
                <w:rFonts w:ascii="Times New Roman" w:hAnsi="Times New Roman" w:cs="Times New Roman"/>
                <w:sz w:val="22"/>
                <w:lang w:val="en-US"/>
              </w:rPr>
            </w:pPr>
            <w:r>
              <w:rPr>
                <w:rFonts w:cs="Times New Roman" w:ascii="Times New Roman" w:hAnsi="Times New Roman"/>
                <w:sz w:val="22"/>
                <w:lang w:val="en-US"/>
              </w:rPr>
            </w:r>
          </w:p>
        </w:tc>
      </w:tr>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1994</w:t>
            </w:r>
          </w:p>
          <w:p>
            <w:pPr>
              <w:pStyle w:val="Normal"/>
              <w:rPr>
                <w:rFonts w:ascii="Times New Roman" w:hAnsi="Times New Roman" w:cs="Times New Roman"/>
                <w:sz w:val="22"/>
                <w:lang w:val="en-US"/>
              </w:rPr>
            </w:pPr>
            <w:r>
              <w:rPr>
                <w:rFonts w:cs="Times New Roman" w:ascii="Times New Roman" w:hAnsi="Times New Roman"/>
                <w:sz w:val="22"/>
                <w:lang w:val="en-US"/>
              </w:rPr>
            </w:r>
          </w:p>
        </w:tc>
        <w:tc>
          <w:tcPr>
            <w:tcW w:w="8188" w:type="dxa"/>
            <w:tcBorders/>
          </w:tcPr>
          <w:p>
            <w:pPr>
              <w:pStyle w:val="Heading5"/>
              <w:ind w:hanging="0" w:start="0"/>
              <w:rPr/>
            </w:pPr>
            <w:r>
              <w:rPr/>
              <w:t>QUT Mediation Skills Training Course</w:t>
            </w:r>
          </w:p>
          <w:p>
            <w:pPr>
              <w:pStyle w:val="BodyText"/>
              <w:rPr/>
            </w:pPr>
            <w:r>
              <w:rPr/>
              <w:t>Completed this sixteen (16) hour mediation skills training course with the Queensland University of Technology.</w:t>
            </w:r>
          </w:p>
          <w:p>
            <w:pPr>
              <w:pStyle w:val="Normal"/>
              <w:keepNext w:val="true"/>
              <w:rPr>
                <w:rFonts w:ascii="Times New Roman" w:hAnsi="Times New Roman" w:cs="Times New Roman"/>
                <w:sz w:val="22"/>
                <w:lang w:val="en-US"/>
              </w:rPr>
            </w:pPr>
            <w:r>
              <w:rPr>
                <w:rFonts w:cs="Times New Roman" w:ascii="Times New Roman" w:hAnsi="Times New Roman"/>
                <w:sz w:val="22"/>
                <w:lang w:val="en-US"/>
              </w:rPr>
            </w:r>
          </w:p>
        </w:tc>
      </w:tr>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1990</w:t>
            </w:r>
          </w:p>
        </w:tc>
        <w:tc>
          <w:tcPr>
            <w:tcW w:w="8188" w:type="dxa"/>
            <w:tcBorders/>
          </w:tcPr>
          <w:p>
            <w:pPr>
              <w:pStyle w:val="Heading5"/>
              <w:ind w:hanging="0" w:start="0"/>
              <w:rPr/>
            </w:pPr>
            <w:r>
              <w:rPr/>
              <w:t>Queensland Young Lawyers Prize</w:t>
            </w:r>
          </w:p>
          <w:p>
            <w:pPr>
              <w:pStyle w:val="Normal"/>
              <w:rPr>
                <w:rFonts w:ascii="Times New Roman" w:hAnsi="Times New Roman" w:cs="Times New Roman"/>
                <w:sz w:val="22"/>
                <w:lang w:val="en-US"/>
              </w:rPr>
            </w:pPr>
            <w:r>
              <w:rPr>
                <w:rFonts w:cs="Times New Roman" w:ascii="Times New Roman" w:hAnsi="Times New Roman"/>
                <w:sz w:val="22"/>
                <w:lang w:val="en-US"/>
              </w:rPr>
              <w:t>For the highest achievement in the subject Legal Research and Writing 1.</w:t>
            </w:r>
          </w:p>
          <w:p>
            <w:pPr>
              <w:pStyle w:val="Normal"/>
              <w:rPr>
                <w:rFonts w:ascii="Times New Roman" w:hAnsi="Times New Roman" w:cs="Times New Roman"/>
                <w:sz w:val="22"/>
                <w:lang w:val="en-US"/>
              </w:rPr>
            </w:pPr>
            <w:r>
              <w:rPr>
                <w:rFonts w:cs="Times New Roman" w:ascii="Times New Roman" w:hAnsi="Times New Roman"/>
                <w:sz w:val="22"/>
                <w:lang w:val="en-US"/>
              </w:rPr>
            </w:r>
          </w:p>
        </w:tc>
      </w:tr>
    </w:tbl>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keepNext w:val="true"/>
        <w:pBdr>
          <w:bottom w:val="single" w:sz="12" w:space="1" w:color="000000"/>
        </w:pBdr>
        <w:rPr>
          <w:rFonts w:ascii="Franklin Gothic Heavy" w:hAnsi="Franklin Gothic Heavy" w:cs="Franklin Gothic Heavy"/>
          <w:sz w:val="36"/>
          <w:lang w:val="en-US"/>
        </w:rPr>
      </w:pPr>
      <w:r>
        <w:rPr>
          <w:rFonts w:cs="Franklin Gothic Heavy" w:ascii="Franklin Gothic Heavy" w:hAnsi="Franklin Gothic Heavy"/>
          <w:sz w:val="36"/>
          <w:lang w:val="en-US"/>
        </w:rPr>
        <w:t>Professional Experience</w:t>
      </w:r>
    </w:p>
    <w:p>
      <w:pPr>
        <w:pStyle w:val="Normal"/>
        <w:keepNext w:val="true"/>
        <w:rPr>
          <w:rFonts w:ascii="Franklin Gothic Heavy" w:hAnsi="Franklin Gothic Heavy" w:cs="Franklin Gothic Heavy"/>
          <w:sz w:val="16"/>
          <w:lang w:val="en-US"/>
        </w:rPr>
      </w:pPr>
      <w:r>
        <w:rPr>
          <w:rFonts w:cs="Franklin Gothic Heavy" w:ascii="Franklin Gothic Heavy" w:hAnsi="Franklin Gothic Heavy"/>
          <w:sz w:val="16"/>
          <w:lang w:val="en-US"/>
        </w:rPr>
      </w:r>
    </w:p>
    <w:tbl>
      <w:tblPr>
        <w:tblW w:w="9856" w:type="dxa"/>
        <w:jc w:val="start"/>
        <w:tblInd w:w="0" w:type="dxa"/>
        <w:tblLayout w:type="fixed"/>
        <w:tblCellMar>
          <w:top w:w="0" w:type="dxa"/>
          <w:start w:w="108" w:type="dxa"/>
          <w:bottom w:w="0" w:type="dxa"/>
          <w:end w:w="108" w:type="dxa"/>
        </w:tblCellMar>
      </w:tblPr>
      <w:tblGrid>
        <w:gridCol w:w="1668"/>
        <w:gridCol w:w="8188"/>
      </w:tblGrid>
      <w:tr>
        <w:trPr/>
        <w:tc>
          <w:tcPr>
            <w:tcW w:w="1668" w:type="dxa"/>
            <w:tcBorders/>
          </w:tcPr>
          <w:p>
            <w:pPr>
              <w:pStyle w:val="Normal"/>
              <w:keepNext w:val="true"/>
              <w:rPr>
                <w:rFonts w:ascii="Times New Roman" w:hAnsi="Times New Roman" w:cs="Times New Roman"/>
                <w:sz w:val="22"/>
                <w:lang w:val="en-US"/>
              </w:rPr>
            </w:pPr>
            <w:r>
              <w:rPr>
                <w:rFonts w:cs="Times New Roman" w:ascii="Times New Roman" w:hAnsi="Times New Roman"/>
                <w:sz w:val="22"/>
                <w:lang w:val="en-US"/>
              </w:rPr>
              <w:t>November 1999</w:t>
            </w:r>
          </w:p>
        </w:tc>
        <w:tc>
          <w:tcPr>
            <w:tcW w:w="8188" w:type="dxa"/>
            <w:tcBorders/>
          </w:tcPr>
          <w:p>
            <w:pPr>
              <w:pStyle w:val="Normal"/>
              <w:rPr/>
            </w:pPr>
            <w:r>
              <w:rPr>
                <w:rFonts w:cs="Franklin Gothic Heavy" w:ascii="Franklin Gothic Heavy" w:hAnsi="Franklin Gothic Heavy"/>
                <w:sz w:val="22"/>
                <w:lang w:val="en-US"/>
              </w:rPr>
              <w:t>Manager, Regulatory and Government Affairs</w:t>
            </w:r>
            <w:r>
              <w:rPr>
                <w:rFonts w:cs="Times New Roman" w:ascii="Times New Roman" w:hAnsi="Times New Roman"/>
                <w:sz w:val="22"/>
                <w:lang w:val="en-US"/>
              </w:rPr>
              <w:t xml:space="preserve"> with </w:t>
            </w:r>
            <w:r>
              <w:rPr>
                <w:rFonts w:cs="Times New Roman" w:ascii="Times New Roman" w:hAnsi="Times New Roman"/>
                <w:b/>
                <w:bCs/>
                <w:sz w:val="22"/>
                <w:lang w:val="en-US"/>
              </w:rPr>
              <w:t>Enron Australia Pty Ltd</w:t>
            </w:r>
            <w:r>
              <w:rPr>
                <w:rFonts w:cs="Times New Roman" w:ascii="Times New Roman" w:hAnsi="Times New Roman"/>
                <w:sz w:val="22"/>
                <w:lang w:val="en-US"/>
              </w:rPr>
              <w:t>.</w:t>
            </w:r>
          </w:p>
          <w:p>
            <w:pPr>
              <w:pStyle w:val="Normal"/>
              <w:rPr>
                <w:rFonts w:ascii="Times New Roman" w:hAnsi="Times New Roman" w:cs="Times New Roman"/>
                <w:sz w:val="22"/>
                <w:lang w:val="en-US"/>
              </w:rPr>
            </w:pPr>
            <w:r>
              <w:rPr>
                <w:rFonts w:cs="Times New Roman" w:ascii="Times New Roman" w:hAnsi="Times New Roman"/>
                <w:sz w:val="22"/>
                <w:lang w:val="en-US"/>
              </w:rPr>
            </w:r>
          </w:p>
          <w:p>
            <w:pPr>
              <w:pStyle w:val="Normal"/>
              <w:rPr/>
            </w:pPr>
            <w:r>
              <w:rPr>
                <w:rFonts w:cs="Times New Roman" w:ascii="Times New Roman" w:hAnsi="Times New Roman"/>
                <w:sz w:val="22"/>
                <w:lang w:val="en-US"/>
              </w:rPr>
              <w:t>As well as undertaking the duties associated with the regulatory and government affairs role, I have also undertaken legal work for David Minns, Senior Legal Counsel, in relation to legal issues arising out of Enron’s energy trading activities (for example, negotiation of ISDA Master Agreement between Enron and its trading counterparties).  I</w:t>
            </w:r>
            <w:r>
              <w:rPr/>
              <w:t> </w:t>
            </w:r>
            <w:r>
              <w:rPr>
                <w:rFonts w:cs="Times New Roman" w:ascii="Times New Roman" w:hAnsi="Times New Roman"/>
                <w:sz w:val="22"/>
                <w:lang w:val="en-US"/>
              </w:rPr>
              <w:t>have also managed Enron’s company secretarial functions and statutory filings.</w:t>
            </w:r>
          </w:p>
          <w:p>
            <w:pPr>
              <w:pStyle w:val="Normal"/>
              <w:rPr>
                <w:rFonts w:ascii="Times New Roman" w:hAnsi="Times New Roman" w:cs="Times New Roman"/>
                <w:sz w:val="22"/>
                <w:lang w:val="en-US"/>
              </w:rPr>
            </w:pPr>
            <w:r>
              <w:rPr>
                <w:rFonts w:cs="Times New Roman" w:ascii="Times New Roman" w:hAnsi="Times New Roman"/>
                <w:sz w:val="22"/>
                <w:lang w:val="en-US"/>
              </w:rPr>
            </w:r>
          </w:p>
        </w:tc>
      </w:tr>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July 1997</w:t>
            </w:r>
          </w:p>
        </w:tc>
        <w:tc>
          <w:tcPr>
            <w:tcW w:w="8188" w:type="dxa"/>
            <w:tcBorders/>
          </w:tcPr>
          <w:p>
            <w:pPr>
              <w:pStyle w:val="Normal"/>
              <w:rPr/>
            </w:pPr>
            <w:r>
              <w:rPr>
                <w:rFonts w:cs="Franklin Gothic Heavy" w:ascii="Franklin Gothic Heavy" w:hAnsi="Franklin Gothic Heavy"/>
                <w:sz w:val="22"/>
                <w:lang w:val="en-US"/>
              </w:rPr>
              <w:t>Company Secretary and Legal Counsel</w:t>
            </w:r>
            <w:r>
              <w:rPr>
                <w:sz w:val="22"/>
                <w:lang w:val="en-US"/>
              </w:rPr>
              <w:t xml:space="preserve"> </w:t>
            </w:r>
            <w:r>
              <w:rPr>
                <w:rFonts w:cs="Times New Roman" w:ascii="Times New Roman" w:hAnsi="Times New Roman"/>
                <w:sz w:val="22"/>
                <w:lang w:val="en-US"/>
              </w:rPr>
              <w:t xml:space="preserve">with </w:t>
            </w:r>
            <w:r>
              <w:rPr>
                <w:rFonts w:cs="Times New Roman" w:ascii="Times New Roman" w:hAnsi="Times New Roman"/>
                <w:b/>
                <w:sz w:val="22"/>
                <w:lang w:val="en-US"/>
              </w:rPr>
              <w:t>Tarong Energy Corporation Ltd.</w:t>
            </w:r>
            <w:r>
              <w:rPr>
                <w:rFonts w:cs="Times New Roman" w:ascii="Times New Roman" w:hAnsi="Times New Roman"/>
                <w:sz w:val="22"/>
                <w:lang w:val="en-US"/>
              </w:rPr>
              <w:t xml:space="preserve"> Tarong Energy is an electricity generator that is a government owned corporatised entity. Tarong Energy was created on 1 July 1997 as part of the restructure of the Queensland Electricity Industry in preparation for the entry in the competitive National Electricity Market (NEM).</w:t>
            </w:r>
          </w:p>
          <w:p>
            <w:pPr>
              <w:pStyle w:val="Normal"/>
              <w:rPr>
                <w:rFonts w:ascii="Times New Roman" w:hAnsi="Times New Roman" w:cs="Times New Roman"/>
                <w:sz w:val="22"/>
                <w:lang w:val="en-US"/>
              </w:rPr>
            </w:pPr>
            <w:r>
              <w:rPr>
                <w:rFonts w:cs="Times New Roman" w:ascii="Times New Roman" w:hAnsi="Times New Roman"/>
                <w:sz w:val="22"/>
                <w:lang w:val="en-US"/>
              </w:rPr>
            </w:r>
          </w:p>
          <w:p>
            <w:pPr>
              <w:pStyle w:val="Normal"/>
              <w:rPr>
                <w:rFonts w:ascii="Times New Roman" w:hAnsi="Times New Roman" w:cs="Times New Roman"/>
                <w:sz w:val="22"/>
                <w:lang w:val="en-US"/>
              </w:rPr>
            </w:pPr>
            <w:r>
              <w:rPr>
                <w:rFonts w:cs="Times New Roman" w:ascii="Times New Roman" w:hAnsi="Times New Roman"/>
                <w:sz w:val="22"/>
                <w:lang w:val="en-US"/>
              </w:rPr>
              <w:t>In this role I was the sole in-house lawyer and provided advice on a broad range of legal issues including providing advice in relation to the corporatisation of Tarong Energy and its entry into the NEM.  I also managed Tarong Energy’s company secretarial functions and statutory filings including attendance at meetings of its Board of directors and establishment of corporate governance and reporting systems.</w:t>
            </w:r>
          </w:p>
          <w:p>
            <w:pPr>
              <w:pStyle w:val="Normal"/>
              <w:rPr>
                <w:rFonts w:ascii="Times New Roman" w:hAnsi="Times New Roman" w:cs="Times New Roman"/>
                <w:sz w:val="22"/>
                <w:lang w:val="en-US"/>
              </w:rPr>
            </w:pPr>
            <w:r>
              <w:rPr>
                <w:rFonts w:cs="Times New Roman" w:ascii="Times New Roman" w:hAnsi="Times New Roman"/>
                <w:sz w:val="22"/>
                <w:lang w:val="en-US"/>
              </w:rPr>
            </w:r>
          </w:p>
        </w:tc>
      </w:tr>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February 1996</w:t>
            </w:r>
          </w:p>
        </w:tc>
        <w:tc>
          <w:tcPr>
            <w:tcW w:w="8188" w:type="dxa"/>
            <w:tcBorders/>
          </w:tcPr>
          <w:p>
            <w:pPr>
              <w:pStyle w:val="Normal"/>
              <w:rPr/>
            </w:pPr>
            <w:r>
              <w:rPr>
                <w:rFonts w:cs="Franklin Gothic Heavy" w:ascii="Franklin Gothic Heavy" w:hAnsi="Franklin Gothic Heavy"/>
              </w:rPr>
              <w:t>Legal Officer</w:t>
            </w:r>
            <w:r>
              <w:rPr>
                <w:rFonts w:cs="Times New Roman" w:ascii="Times New Roman" w:hAnsi="Times New Roman"/>
                <w:sz w:val="22"/>
              </w:rPr>
              <w:t xml:space="preserve"> with the </w:t>
            </w:r>
            <w:r>
              <w:rPr>
                <w:rFonts w:cs="Times New Roman" w:ascii="Times New Roman" w:hAnsi="Times New Roman"/>
                <w:b/>
                <w:sz w:val="22"/>
              </w:rPr>
              <w:t>Queensland Generation Corporation trading as AUSTA Electric</w:t>
            </w:r>
            <w:r>
              <w:rPr>
                <w:rFonts w:cs="Times New Roman" w:ascii="Times New Roman" w:hAnsi="Times New Roman"/>
                <w:sz w:val="22"/>
              </w:rPr>
              <w:t>, a Queensland government owned electricity generator.</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In this role I was one of three in-house lawyers providing legal advice on a diverse range of legal issues affecting the operations of AUSTA Electric.</w:t>
            </w:r>
          </w:p>
          <w:p>
            <w:pPr>
              <w:pStyle w:val="Normal"/>
              <w:rPr>
                <w:rFonts w:ascii="Times New Roman" w:hAnsi="Times New Roman" w:cs="Times New Roman"/>
                <w:sz w:val="22"/>
                <w:lang w:val="en-US"/>
              </w:rPr>
            </w:pPr>
            <w:r>
              <w:rPr>
                <w:rFonts w:cs="Times New Roman" w:ascii="Times New Roman" w:hAnsi="Times New Roman"/>
                <w:sz w:val="22"/>
                <w:lang w:val="en-US"/>
              </w:rPr>
            </w:r>
          </w:p>
        </w:tc>
      </w:tr>
      <w:tr>
        <w:trPr/>
        <w:tc>
          <w:tcPr>
            <w:tcW w:w="1668" w:type="dxa"/>
            <w:tcBorders/>
          </w:tcPr>
          <w:p>
            <w:pPr>
              <w:pStyle w:val="Normal"/>
              <w:rPr>
                <w:rFonts w:ascii="Times New Roman" w:hAnsi="Times New Roman" w:cs="Times New Roman"/>
                <w:sz w:val="22"/>
                <w:lang w:val="en-US"/>
              </w:rPr>
            </w:pPr>
            <w:r>
              <w:rPr>
                <w:rFonts w:cs="Times New Roman" w:ascii="Times New Roman" w:hAnsi="Times New Roman"/>
                <w:sz w:val="22"/>
                <w:lang w:val="en-US"/>
              </w:rPr>
              <w:t>1995</w:t>
            </w:r>
          </w:p>
        </w:tc>
        <w:tc>
          <w:tcPr>
            <w:tcW w:w="8188" w:type="dxa"/>
            <w:tcBorders/>
          </w:tcPr>
          <w:p>
            <w:pPr>
              <w:pStyle w:val="Normal"/>
              <w:rPr/>
            </w:pPr>
            <w:r>
              <w:rPr>
                <w:rFonts w:cs="Franklin Gothic Heavy" w:ascii="Franklin Gothic Heavy" w:hAnsi="Franklin Gothic Heavy"/>
                <w:sz w:val="22"/>
                <w:lang w:val="en-US"/>
              </w:rPr>
              <w:t xml:space="preserve">Legal Researcher </w:t>
            </w:r>
            <w:r>
              <w:rPr>
                <w:rFonts w:cs="Times New Roman" w:ascii="Times New Roman" w:hAnsi="Times New Roman"/>
                <w:i/>
                <w:sz w:val="22"/>
                <w:lang w:val="en-US"/>
              </w:rPr>
              <w:t>(part-time whilst completing the Grad. Dip. LP)</w:t>
            </w:r>
            <w:r>
              <w:rPr>
                <w:rFonts w:cs="Times New Roman" w:ascii="Times New Roman" w:hAnsi="Times New Roman"/>
                <w:sz w:val="22"/>
                <w:lang w:val="en-US"/>
              </w:rPr>
              <w:t xml:space="preserve"> with the </w:t>
            </w:r>
            <w:r>
              <w:rPr>
                <w:rFonts w:cs="Times New Roman" w:ascii="Times New Roman" w:hAnsi="Times New Roman"/>
                <w:b/>
                <w:sz w:val="22"/>
                <w:lang w:val="en-US"/>
              </w:rPr>
              <w:t>Queensland Law Society</w:t>
            </w:r>
            <w:r>
              <w:rPr>
                <w:rFonts w:cs="Times New Roman" w:ascii="Times New Roman" w:hAnsi="Times New Roman"/>
                <w:sz w:val="22"/>
                <w:lang w:val="en-US"/>
              </w:rPr>
              <w:t xml:space="preserve"> (QLS).</w:t>
            </w:r>
          </w:p>
          <w:p>
            <w:pPr>
              <w:pStyle w:val="Normal"/>
              <w:rPr>
                <w:rFonts w:ascii="Times New Roman" w:hAnsi="Times New Roman" w:cs="Times New Roman"/>
                <w:sz w:val="22"/>
                <w:lang w:val="en-US"/>
              </w:rPr>
            </w:pPr>
            <w:r>
              <w:rPr>
                <w:rFonts w:cs="Times New Roman" w:ascii="Times New Roman" w:hAnsi="Times New Roman"/>
                <w:sz w:val="22"/>
                <w:lang w:val="en-US"/>
              </w:rPr>
            </w:r>
          </w:p>
        </w:tc>
      </w:tr>
    </w:tbl>
    <w:p>
      <w:pPr>
        <w:pStyle w:val="Normal"/>
        <w:rPr>
          <w:lang w:val="en-US"/>
        </w:rPr>
      </w:pPr>
      <w:r>
        <w:rPr>
          <w:lang w:val="en-US"/>
        </w:rPr>
      </w:r>
    </w:p>
    <w:p>
      <w:pPr>
        <w:pStyle w:val="Normal"/>
        <w:rPr>
          <w:lang w:val="en-US"/>
        </w:rPr>
      </w:pPr>
      <w:r>
        <w:rPr>
          <w:lang w:val="en-US"/>
        </w:rPr>
      </w:r>
    </w:p>
    <w:p>
      <w:pPr>
        <w:pStyle w:val="Normal"/>
        <w:keepNext w:val="true"/>
        <w:pBdr>
          <w:bottom w:val="single" w:sz="12" w:space="1" w:color="000000"/>
        </w:pBdr>
        <w:rPr>
          <w:rFonts w:ascii="Franklin Gothic Heavy" w:hAnsi="Franklin Gothic Heavy" w:cs="Franklin Gothic Heavy"/>
          <w:sz w:val="36"/>
          <w:lang w:val="en-US"/>
        </w:rPr>
      </w:pPr>
      <w:r>
        <w:rPr>
          <w:rFonts w:cs="Franklin Gothic Heavy" w:ascii="Franklin Gothic Heavy" w:hAnsi="Franklin Gothic Heavy"/>
          <w:sz w:val="36"/>
          <w:lang w:val="en-US"/>
        </w:rPr>
        <w:t>Professional Affiliations</w:t>
      </w:r>
    </w:p>
    <w:p>
      <w:pPr>
        <w:pStyle w:val="Normal"/>
        <w:keepNext w:val="true"/>
        <w:rPr>
          <w:rFonts w:ascii="Franklin Gothic Heavy" w:hAnsi="Franklin Gothic Heavy" w:cs="Franklin Gothic Heavy"/>
          <w:sz w:val="16"/>
          <w:lang w:val="en-US"/>
        </w:rPr>
      </w:pPr>
      <w:r>
        <w:rPr>
          <w:rFonts w:cs="Franklin Gothic Heavy" w:ascii="Franklin Gothic Heavy" w:hAnsi="Franklin Gothic Heavy"/>
          <w:sz w:val="16"/>
          <w:lang w:val="en-US"/>
        </w:rPr>
      </w:r>
    </w:p>
    <w:tbl>
      <w:tblPr>
        <w:tblW w:w="9856" w:type="dxa"/>
        <w:jc w:val="start"/>
        <w:tblInd w:w="0" w:type="dxa"/>
        <w:tblLayout w:type="fixed"/>
        <w:tblCellMar>
          <w:top w:w="0" w:type="dxa"/>
          <w:start w:w="108" w:type="dxa"/>
          <w:bottom w:w="0" w:type="dxa"/>
          <w:end w:w="108" w:type="dxa"/>
        </w:tblCellMar>
      </w:tblPr>
      <w:tblGrid>
        <w:gridCol w:w="9856"/>
      </w:tblGrid>
      <w:tr>
        <w:trPr/>
        <w:tc>
          <w:tcPr>
            <w:tcW w:w="9856" w:type="dxa"/>
            <w:tcBorders/>
          </w:tcPr>
          <w:p>
            <w:pPr>
              <w:pStyle w:val="Normal"/>
              <w:numPr>
                <w:ilvl w:val="0"/>
                <w:numId w:val="5"/>
              </w:numPr>
              <w:spacing w:before="0" w:after="120"/>
              <w:ind w:hanging="357" w:start="357" w:end="0"/>
              <w:rPr>
                <w:lang w:val="en-US"/>
              </w:rPr>
            </w:pPr>
            <w:r>
              <w:rPr>
                <w:lang w:val="en-US"/>
              </w:rPr>
              <w:t>Enron representative on the Australian Financial Markets Association (AFMA) Electricity/Energy Committee.</w:t>
            </w:r>
          </w:p>
          <w:p>
            <w:pPr>
              <w:pStyle w:val="Normal"/>
              <w:numPr>
                <w:ilvl w:val="0"/>
                <w:numId w:val="5"/>
              </w:numPr>
              <w:spacing w:before="0" w:after="120"/>
              <w:ind w:hanging="357" w:start="357" w:end="0"/>
              <w:rPr>
                <w:lang w:val="en-US"/>
              </w:rPr>
            </w:pPr>
            <w:r>
              <w:rPr>
                <w:lang w:val="en-US"/>
              </w:rPr>
              <w:t>Enron representative on the Australia Treasury Operations Association (ATOA) Electricity Committee.</w:t>
            </w:r>
          </w:p>
          <w:p>
            <w:pPr>
              <w:pStyle w:val="Normal"/>
              <w:numPr>
                <w:ilvl w:val="0"/>
                <w:numId w:val="5"/>
              </w:numPr>
              <w:spacing w:before="0" w:after="120"/>
              <w:ind w:hanging="357" w:start="357" w:end="0"/>
              <w:rPr>
                <w:lang w:val="en-US"/>
              </w:rPr>
            </w:pPr>
            <w:r>
              <w:rPr>
                <w:lang w:val="en-US"/>
              </w:rPr>
              <w:t>Member of the New South Wales Law Society.</w:t>
            </w:r>
          </w:p>
          <w:p>
            <w:pPr>
              <w:pStyle w:val="Normal"/>
              <w:numPr>
                <w:ilvl w:val="0"/>
                <w:numId w:val="5"/>
              </w:numPr>
              <w:spacing w:before="0" w:after="120"/>
              <w:ind w:hanging="357" w:start="357" w:end="0"/>
              <w:rPr>
                <w:lang w:val="en-US"/>
              </w:rPr>
            </w:pPr>
            <w:r>
              <w:rPr>
                <w:lang w:val="en-US"/>
              </w:rPr>
              <w:t>Member of the Australian Corporate Lawyers Association.</w:t>
            </w:r>
          </w:p>
        </w:tc>
      </w:tr>
    </w:tbl>
    <w:p>
      <w:pPr>
        <w:pStyle w:val="Normal"/>
        <w:rPr>
          <w:lang w:val="en-US"/>
        </w:rPr>
      </w:pPr>
      <w:r>
        <w:rPr>
          <w:lang w:val="en-US"/>
        </w:rPr>
      </w:r>
    </w:p>
    <w:sectPr>
      <w:type w:val="nextPage"/>
      <w:pgSz w:w="11906" w:h="16838"/>
      <w:pgMar w:left="1134" w:right="1134" w:gutter="0" w:header="0" w:top="1134" w:footer="0"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 Old Style">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Eras Light ITC">
    <w:charset w:val="00" w:characterSet="windows-1252"/>
    <w:family w:val="swiss"/>
    <w:pitch w:val="variable"/>
  </w:font>
  <w:font w:name="Book Antiqua">
    <w:charset w:val="00" w:characterSet="windows-1252"/>
    <w:family w:val="roman"/>
    <w:pitch w:val="variable"/>
  </w:font>
  <w:font w:name="Franklin Gothic Heavy">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0"/>
      </w:rPr>
    </w:lvl>
  </w:abstractNum>
  <w:abstractNum w:abstractNumId="3">
    <w:lvl w:ilvl="0">
      <w:start w:val="1"/>
      <w:numFmt w:val="bullet"/>
      <w:lvlText w:val="="/>
      <w:lvlJc w:val="start"/>
      <w:pPr>
        <w:tabs>
          <w:tab w:val="num" w:pos="360"/>
        </w:tabs>
        <w:ind w:start="340" w:hanging="340"/>
      </w:pPr>
      <w:rPr>
        <w:rFonts w:ascii="Times New Roman" w:hAnsi="Times New Roman" w:cs="Times New Roman"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sz w:val="20"/>
      </w:rPr>
    </w:lvl>
  </w:abstractNum>
  <w:abstractNum w:abstractNumId="5">
    <w:lvl w:ilvl="0">
      <w:start w:val="1"/>
      <w:numFmt w:val="bullet"/>
      <w:lvlText w:val=""/>
      <w:lvlJc w:val="start"/>
      <w:pPr>
        <w:tabs>
          <w:tab w:val="num" w:pos="360"/>
        </w:tabs>
        <w:ind w:start="36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oudy Old Style" w:hAnsi="Goudy Old Style" w:eastAsia="Times New Roman" w:cs="Goudy Old Style"/>
      <w:color w:val="auto"/>
      <w:sz w:val="24"/>
      <w:szCs w:val="20"/>
      <w:lang w:val="en-AU" w:bidi="ar-SA" w:eastAsia="zh-CN"/>
    </w:rPr>
  </w:style>
  <w:style w:type="paragraph" w:styleId="Heading1">
    <w:name w:val="heading 1"/>
    <w:basedOn w:val="Normal"/>
    <w:next w:val="Normal"/>
    <w:qFormat/>
    <w:pPr>
      <w:keepNext w:val="true"/>
      <w:numPr>
        <w:ilvl w:val="0"/>
        <w:numId w:val="1"/>
      </w:numPr>
      <w:spacing w:before="240" w:after="60"/>
      <w:outlineLvl w:val="0"/>
    </w:pPr>
    <w:rPr>
      <w:b/>
      <w:caps/>
      <w:kern w:val="2"/>
      <w:sz w:val="32"/>
    </w:rPr>
  </w:style>
  <w:style w:type="paragraph" w:styleId="Heading2">
    <w:name w:val="heading 2"/>
    <w:basedOn w:val="Normal"/>
    <w:next w:val="Normal"/>
    <w:qFormat/>
    <w:pPr>
      <w:keepNext w:val="true"/>
      <w:numPr>
        <w:ilvl w:val="1"/>
        <w:numId w:val="1"/>
      </w:numPr>
      <w:spacing w:before="240" w:after="60"/>
      <w:outlineLvl w:val="1"/>
    </w:pPr>
    <w:rPr>
      <w:b/>
      <w:sz w:val="28"/>
    </w:rPr>
  </w:style>
  <w:style w:type="paragraph" w:styleId="Heading3">
    <w:name w:val="heading 3"/>
    <w:basedOn w:val="Normal"/>
    <w:next w:val="Normal"/>
    <w:qFormat/>
    <w:pPr>
      <w:keepNext w:val="true"/>
      <w:numPr>
        <w:ilvl w:val="2"/>
        <w:numId w:val="1"/>
      </w:numPr>
      <w:spacing w:before="240" w:after="60"/>
      <w:outlineLvl w:val="2"/>
    </w:pPr>
    <w:rPr>
      <w:b/>
      <w:i/>
    </w:rPr>
  </w:style>
  <w:style w:type="paragraph" w:styleId="Heading4">
    <w:name w:val="heading 4"/>
    <w:basedOn w:val="Normal"/>
    <w:next w:val="Normal"/>
    <w:qFormat/>
    <w:pPr>
      <w:keepNext w:val="true"/>
      <w:numPr>
        <w:ilvl w:val="3"/>
        <w:numId w:val="1"/>
      </w:numPr>
      <w:spacing w:before="240" w:after="60"/>
      <w:outlineLvl w:val="3"/>
    </w:pPr>
    <w:rPr>
      <w:i/>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bCs/>
      <w:sz w:val="22"/>
      <w:lang w:val="en-US"/>
    </w:rPr>
  </w:style>
  <w:style w:type="character" w:styleId="WW8Num1z0">
    <w:name w:val="WW8Num1z0"/>
    <w:qFormat/>
    <w:rPr>
      <w:rFonts w:ascii="Wingdings" w:hAnsi="Wingdings" w:cs="Wingdings"/>
      <w:sz w:val="20"/>
    </w:rPr>
  </w:style>
  <w:style w:type="character" w:styleId="WW8Num2z0">
    <w:name w:val="WW8Num2z0"/>
    <w:qFormat/>
    <w:rPr>
      <w:rFonts w:ascii="Wingdings" w:hAnsi="Wingdings" w:cs="Wingdings"/>
      <w:sz w:val="20"/>
    </w:rPr>
  </w:style>
  <w:style w:type="character" w:styleId="WW8Num3z0">
    <w:name w:val="WW8Num3z0"/>
    <w:qFormat/>
    <w:rPr>
      <w:rFonts w:ascii="Wingdings" w:hAnsi="Wingdings" w:cs="Wingdings"/>
      <w:sz w:val="20"/>
    </w:rPr>
  </w:style>
  <w:style w:type="character" w:styleId="WW8Num4z0">
    <w:name w:val="WW8Num4z0"/>
    <w:qFormat/>
    <w:rPr>
      <w:rFonts w:ascii="Wingdings" w:hAnsi="Wingdings" w:cs="Wingdings"/>
      <w:sz w:val="20"/>
    </w:rPr>
  </w:style>
  <w:style w:type="character" w:styleId="WW8Num5z0">
    <w:name w:val="WW8Num5z0"/>
    <w:qFormat/>
    <w:rPr>
      <w:rFonts w:ascii="Times New Roman" w:hAnsi="Times New Roman" w:cs="Times New Roman"/>
    </w:rPr>
  </w:style>
  <w:style w:type="character" w:styleId="WW8Num6z0">
    <w:name w:val="WW8Num6z0"/>
    <w:qFormat/>
    <w:rPr>
      <w:rFonts w:ascii="Wingdings" w:hAnsi="Wingdings" w:cs="Wingdings"/>
      <w:sz w:val="20"/>
    </w:rPr>
  </w:style>
  <w:style w:type="character" w:styleId="WW8Num7z0">
    <w:name w:val="WW8Num7z0"/>
    <w:qFormat/>
    <w:rPr>
      <w:rFonts w:ascii="Wingdings" w:hAnsi="Wingdings" w:cs="Wingdings"/>
      <w:sz w:val="20"/>
    </w:rPr>
  </w:style>
  <w:style w:type="character" w:styleId="WW8Num8z0">
    <w:name w:val="WW8Num8z0"/>
    <w:qFormat/>
    <w:rPr>
      <w:rFonts w:ascii="Wingdings" w:hAnsi="Wingdings" w:cs="Wingdings"/>
      <w:sz w:val="20"/>
    </w:rPr>
  </w:style>
  <w:style w:type="character" w:styleId="WW8Num9z0">
    <w:name w:val="WW8Num9z0"/>
    <w:qFormat/>
    <w:rPr>
      <w:rFonts w:ascii="Wingdings" w:hAnsi="Wingdings" w:cs="Wingdings"/>
      <w:sz w:val="20"/>
    </w:rPr>
  </w:style>
  <w:style w:type="character" w:styleId="WW8Num10z0">
    <w:name w:val="WW8Num10z0"/>
    <w:qFormat/>
    <w:rPr>
      <w:rFonts w:ascii="Wingdings" w:hAnsi="Wingdings" w:cs="Wingdings"/>
      <w:sz w:val="20"/>
    </w:rPr>
  </w:style>
  <w:style w:type="character" w:styleId="WW8Num11z0">
    <w:name w:val="WW8Num11z0"/>
    <w:qFormat/>
    <w:rPr>
      <w:rFonts w:ascii="Wingdings" w:hAnsi="Wingdings" w:cs="Wingdings"/>
      <w:sz w:val="20"/>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sz w:val="20"/>
    </w:rPr>
  </w:style>
  <w:style w:type="character" w:styleId="DefaultParagraphFont">
    <w:name w:val="Default Paragraph Font"/>
    <w:qFormat/>
    <w:rPr/>
  </w:style>
  <w:style w:type="character" w:styleId="PageNumber">
    <w:name w:val="page number"/>
    <w:basedOn w:val="DefaultParagraphFont"/>
    <w:rPr>
      <w:rFonts w:ascii="Goudy Old Style" w:hAnsi="Goudy Old Style" w:cs="Goudy Old Style"/>
    </w:rPr>
  </w:style>
  <w:style w:type="character" w:styleId="Hyperlink">
    <w:name w:val="Hyperlink"/>
    <w:basedOn w:val="DefaultParagraphFont"/>
    <w:rPr>
      <w:color w:val="0000FF"/>
      <w:u w:val="single"/>
    </w:rPr>
  </w:style>
  <w:style w:type="paragraph" w:styleId="Heading">
    <w:name w:val="Heading"/>
    <w:basedOn w:val="Normal"/>
    <w:next w:val="BodyText"/>
    <w:qFormat/>
    <w:pPr>
      <w:pBdr>
        <w:top w:val="single" w:sz="4" w:space="1" w:color="000000"/>
        <w:left w:val="single" w:sz="4" w:space="4" w:color="000000"/>
        <w:bottom w:val="single" w:sz="4" w:space="1" w:color="000000"/>
        <w:right w:val="single" w:sz="4" w:space="4" w:color="000000"/>
      </w:pBdr>
      <w:shd w:fill="000000" w:val="clear"/>
      <w:spacing w:before="0" w:after="120"/>
      <w:jc w:val="center"/>
    </w:pPr>
    <w:rPr>
      <w:rFonts w:ascii="Eras Light ITC" w:hAnsi="Eras Light ITC" w:cs="Eras Light ITC"/>
      <w:bCs/>
      <w:color w:val="FFFFFF"/>
      <w:sz w:val="64"/>
      <w:lang w:val="en-US"/>
    </w:rPr>
  </w:style>
  <w:style w:type="paragraph" w:styleId="BodyText">
    <w:name w:val="Body Text"/>
    <w:basedOn w:val="Normal"/>
    <w:pPr>
      <w:keepNext w:val="true"/>
    </w:pPr>
    <w:rPr>
      <w:rFonts w:ascii="Times New Roman" w:hAnsi="Times New Roman" w:cs="Times New Roman"/>
      <w:sz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anned">
    <w:name w:val="Scanned"/>
    <w:qFormat/>
    <w:pPr>
      <w:widowControl/>
      <w:bidi w:val="0"/>
      <w:spacing w:before="0" w:after="240"/>
    </w:pPr>
    <w:rPr>
      <w:rFonts w:ascii="Book Antiqua" w:hAnsi="Book Antiqua" w:eastAsia="Times New Roman" w:cs="Book Antiqua"/>
      <w:color w:val="auto"/>
      <w:sz w:val="24"/>
      <w:szCs w:val="20"/>
      <w:lang w:val="en-AU" w:bidi="ar-SA" w:eastAsia="zh-CN"/>
    </w:rPr>
  </w:style>
  <w:style w:type="paragraph" w:styleId="CaseFacts">
    <w:name w:val="Case Facts"/>
    <w:basedOn w:val="Normal"/>
    <w:qFormat/>
    <w:pPr>
      <w:ind w:hanging="0" w:start="720" w:end="0"/>
    </w:pPr>
    <w:rPr>
      <w:i/>
    </w:rPr>
  </w:style>
  <w:style w:type="paragraph" w:styleId="CaseHeld">
    <w:name w:val="Case Held"/>
    <w:basedOn w:val="Normal"/>
    <w:qFormat/>
    <w:pPr>
      <w:numPr>
        <w:ilvl w:val="0"/>
        <w:numId w:val="3"/>
      </w:numPr>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shd w:fill="000000" w:val="clear"/>
      <w:jc w:val="center"/>
    </w:pPr>
    <w:rPr>
      <w:rFonts w:ascii="Franklin Gothic Heavy" w:hAnsi="Franklin Gothic Heavy" w:cs="Franklin Gothic Heavy"/>
      <w:color w:val="FFFFFF"/>
      <w:spacing w:val="40"/>
      <w:sz w:val="6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mcgrory@gil.com.a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2001-10-04T15:02:00Z</dcterms:created>
  <dc:creator>Robert McGrory</dc:creator>
  <dc:description/>
  <dc:language>en-CA</dc:language>
  <cp:lastModifiedBy>aaronow</cp:lastModifiedBy>
  <cp:lastPrinted>2001-09-27T16:38:00Z</cp:lastPrinted>
  <dcterms:modified xsi:type="dcterms:W3CDTF">2001-10-04T15:02:00Z</dcterms:modified>
  <cp:revision>2</cp:revision>
  <dc:subject/>
  <dc:title>Robert Allen McGrory</dc:title>
</cp:coreProperties>
</file>