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r>
    </w:p>
    <w:p>
      <w:pPr>
        <w:pStyle w:val="Heading"/>
        <w:rPr>
          <w:sz w:val="32"/>
        </w:rPr>
      </w:pPr>
      <w:r>
        <w:rPr>
          <w:sz w:val="32"/>
        </w:rPr>
        <w:t>Eugene S. May</w:t>
      </w:r>
    </w:p>
    <w:p>
      <w:pPr>
        <w:pStyle w:val="Normal"/>
        <w:jc w:val="center"/>
        <w:rPr>
          <w:b/>
          <w:sz w:val="22"/>
        </w:rPr>
      </w:pPr>
      <w:r>
        <w:rPr>
          <w:b/>
          <w:sz w:val="22"/>
        </w:rPr>
        <w:t xml:space="preserve">1647 Scott Creek Drive NE, Belmont, MI, 49306 </w:t>
      </w:r>
    </w:p>
    <w:p>
      <w:pPr>
        <w:pStyle w:val="Normal"/>
        <w:jc w:val="center"/>
        <w:rPr>
          <w:b/>
          <w:sz w:val="22"/>
        </w:rPr>
      </w:pPr>
      <w:r>
        <w:rPr>
          <w:b/>
          <w:sz w:val="22"/>
        </w:rPr>
        <w:t xml:space="preserve"> </w:t>
      </w:r>
      <w:r>
        <w:rPr>
          <w:b/>
          <w:sz w:val="22"/>
        </w:rPr>
        <w:t>Home: (616)-784-3616 * E-mail</w:t>
      </w:r>
      <w:r>
        <w:rPr>
          <w:sz w:val="22"/>
        </w:rPr>
        <w:t>:</w:t>
      </w:r>
      <w:r>
        <w:rPr>
          <w:b/>
          <w:sz w:val="22"/>
        </w:rPr>
        <w:t xml:space="preserve"> </w:t>
      </w:r>
      <w:r>
        <w:rPr>
          <w:rStyle w:val="Hyperlink"/>
          <w:sz w:val="22"/>
        </w:rPr>
        <w:t>gene2222@msn.com</w:t>
      </w:r>
    </w:p>
    <w:p>
      <w:pPr>
        <w:pStyle w:val="Normal"/>
        <w:jc w:val="center"/>
        <w:rPr>
          <w:b/>
          <w:sz w:val="22"/>
          <w:lang w:val="en-CA" w:eastAsia="en-CA"/>
        </w:rPr>
      </w:pPr>
      <w:r>
        <w:rPr>
          <w:b/>
          <w:sz w:val="22"/>
          <w:lang w:val="en-CA" w:eastAsia="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67310</wp:posOffset>
                </wp:positionV>
                <wp:extent cx="6492240" cy="0"/>
                <wp:effectExtent l="0" t="19050" r="0" b="19050"/>
                <wp:wrapNone/>
                <wp:docPr id="1" name=""/>
                <a:graphic xmlns:a="http://schemas.openxmlformats.org/drawingml/2006/main">
                  <a:graphicData uri="http://schemas.microsoft.com/office/word/2010/wordprocessingShape">
                    <wps:wsp>
                      <wps:cNvSpPr/>
                      <wps:spPr>
                        <a:xfrm>
                          <a:off x="0" y="0"/>
                          <a:ext cx="649224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5.3pt" to="511.15pt,5.3pt" stroked="t" o:allowincell="f" style="position:absolute">
                <v:stroke color="black" weight="38160" joinstyle="miter" endcap="flat"/>
                <v:fill o:detectmouseclick="t" on="false"/>
                <w10:wrap type="none"/>
              </v:line>
            </w:pict>
          </mc:Fallback>
        </mc:AlternateContent>
      </w:r>
    </w:p>
    <w:p>
      <w:pPr>
        <w:pStyle w:val="BodyText"/>
        <w:rPr>
          <w:b/>
        </w:rPr>
      </w:pPr>
      <w:r>
        <w:rPr>
          <w:b/>
        </w:rPr>
      </w:r>
    </w:p>
    <w:p>
      <w:pPr>
        <w:pStyle w:val="BodyText"/>
        <w:rPr/>
      </w:pPr>
      <w:r>
        <w:rPr/>
      </w:r>
    </w:p>
    <w:p>
      <w:pPr>
        <w:pStyle w:val="SectionTitle"/>
        <w:pBdr>
          <w:left w:val="nil"/>
        </w:pBdr>
        <w:jc w:val="center"/>
        <w:rPr/>
      </w:pPr>
      <w:r>
        <w:rPr/>
        <w:t>Career Profile</w:t>
      </w:r>
    </w:p>
    <w:p>
      <w:pPr>
        <w:pStyle w:val="CompanyName"/>
        <w:numPr>
          <w:ilvl w:val="0"/>
          <w:numId w:val="0"/>
        </w:numPr>
        <w:pBdr>
          <w:left w:val="nil"/>
        </w:pBdr>
        <w:ind w:hanging="0" w:start="0"/>
        <w:rPr>
          <w:rFonts w:ascii="Times New Roman" w:hAnsi="Times New Roman" w:cs="Times New Roman"/>
          <w:sz w:val="22"/>
        </w:rPr>
      </w:pPr>
      <w:r>
        <w:rPr>
          <w:rFonts w:cs="Times New Roman" w:ascii="Times New Roman" w:hAnsi="Times New Roman"/>
          <w:sz w:val="22"/>
        </w:rPr>
      </w:r>
    </w:p>
    <w:p>
      <w:pPr>
        <w:pStyle w:val="CompanyName"/>
        <w:numPr>
          <w:ilvl w:val="0"/>
          <w:numId w:val="0"/>
        </w:numPr>
        <w:pBdr>
          <w:left w:val="nil"/>
        </w:pBdr>
        <w:ind w:hanging="0" w:start="0"/>
        <w:rPr/>
      </w:pPr>
      <w:r>
        <w:rPr>
          <w:rFonts w:cs="Times New Roman" w:ascii="Times New Roman" w:hAnsi="Times New Roman"/>
          <w:sz w:val="22"/>
        </w:rPr>
        <w:t>1986 – July 2001, Meijer, Inc., Grand Rapids, Michigan:  (Privately Held Merchant)</w:t>
      </w:r>
    </w:p>
    <w:p>
      <w:pPr>
        <w:pStyle w:val="CompanyName"/>
        <w:numPr>
          <w:ilvl w:val="0"/>
          <w:numId w:val="3"/>
        </w:numPr>
        <w:pBdr>
          <w:left w:val="nil"/>
        </w:pBdr>
        <w:rPr>
          <w:rFonts w:ascii="Times New Roman" w:hAnsi="Times New Roman" w:cs="Times New Roman"/>
          <w:sz w:val="22"/>
        </w:rPr>
      </w:pPr>
      <w:r>
        <w:rPr>
          <w:rFonts w:cs="Times New Roman" w:ascii="Times New Roman" w:hAnsi="Times New Roman"/>
          <w:sz w:val="22"/>
        </w:rPr>
        <w:t>Treasury</w:t>
      </w:r>
      <w:r>
        <w:rPr>
          <w:rFonts w:cs="Times New Roman" w:ascii="Times New Roman" w:hAnsi="Times New Roman"/>
          <w:b w:val="false"/>
          <w:sz w:val="22"/>
        </w:rPr>
        <w:t xml:space="preserve"> – Corporate Cash Manager.  Responsible for managing corporate liquidity, short-term investment and debt management, bank relationships, funds transfer systems, and major equipment leases. I was also responsible for credit / debit card contract negotiation and relationships. Additional responsibilities included facilitating import trade letters of credit, foreign exchange hedges, and negotiating uncommitted lines of credit and associated promissory notes.        </w:t>
      </w:r>
    </w:p>
    <w:p>
      <w:pPr>
        <w:pStyle w:val="CompanyName"/>
        <w:pBdr>
          <w:left w:val="nil"/>
        </w:pBdr>
        <w:ind w:hanging="450" w:start="450" w:end="0"/>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b w:val="false"/>
          <w:sz w:val="22"/>
        </w:rPr>
        <w:t xml:space="preserve">  </w:t>
      </w:r>
      <w:r>
        <w:rPr>
          <w:rFonts w:cs="Times New Roman" w:ascii="Times New Roman" w:hAnsi="Times New Roman"/>
          <w:b w:val="false"/>
          <w:sz w:val="22"/>
        </w:rPr>
        <w:t>Meijer is privately held and I respect the confidential nature of its financial statements; however, industry publications estimate Meijer’s revenue at over $10.0 billion with 90,000 employees.</w:t>
      </w:r>
    </w:p>
    <w:p>
      <w:pPr>
        <w:pStyle w:val="CompanyName"/>
        <w:numPr>
          <w:ilvl w:val="0"/>
          <w:numId w:val="5"/>
        </w:numPr>
        <w:pBdr>
          <w:left w:val="nil"/>
        </w:pBdr>
        <w:rPr>
          <w:rFonts w:ascii="Times New Roman" w:hAnsi="Times New Roman" w:cs="Times New Roman"/>
          <w:sz w:val="22"/>
        </w:rPr>
      </w:pPr>
      <w:r>
        <w:rPr>
          <w:rFonts w:cs="Times New Roman" w:ascii="Times New Roman" w:hAnsi="Times New Roman"/>
          <w:b w:val="false"/>
          <w:sz w:val="22"/>
        </w:rPr>
        <w:t xml:space="preserve"> </w:t>
      </w:r>
      <w:r>
        <w:rPr>
          <w:rFonts w:cs="Times New Roman" w:ascii="Times New Roman" w:hAnsi="Times New Roman"/>
          <w:sz w:val="22"/>
        </w:rPr>
        <w:t xml:space="preserve">Accounting – </w:t>
      </w:r>
      <w:r>
        <w:rPr>
          <w:rFonts w:cs="Times New Roman" w:ascii="Times New Roman" w:hAnsi="Times New Roman"/>
          <w:b w:val="false"/>
          <w:sz w:val="22"/>
        </w:rPr>
        <w:t xml:space="preserve">Ascended to Accounting Manager for Property Accounting where I directed a staff of seven responsible for fixed asset accounting, with an emphasis on generating tax benefits, and capital budgeting.  I lead a team that developed an innovative application of GEAC’s Fixed Asset and Capital Budget software, and interactive (Millennium) software.  It made Meijer one of GEAC’s showcase installations for current and prospective clients.     </w:t>
      </w:r>
    </w:p>
    <w:p>
      <w:pPr>
        <w:pStyle w:val="CompanyName"/>
        <w:numPr>
          <w:ilvl w:val="0"/>
          <w:numId w:val="5"/>
        </w:numPr>
        <w:pBdr>
          <w:left w:val="nil"/>
        </w:pBdr>
        <w:rPr>
          <w:rFonts w:ascii="Times New Roman" w:hAnsi="Times New Roman" w:cs="Times New Roman"/>
          <w:sz w:val="22"/>
        </w:rPr>
      </w:pPr>
      <w:r>
        <w:rPr>
          <w:rFonts w:cs="Times New Roman" w:ascii="Times New Roman" w:hAnsi="Times New Roman"/>
          <w:sz w:val="22"/>
        </w:rPr>
        <w:t>Information Systems Technology</w:t>
      </w:r>
      <w:r>
        <w:rPr>
          <w:rFonts w:cs="Times New Roman" w:ascii="Times New Roman" w:hAnsi="Times New Roman"/>
          <w:b w:val="false"/>
          <w:sz w:val="22"/>
        </w:rPr>
        <w:t xml:space="preserve"> – Advanced to Systems Analyst position helping business units resolve information challenges by applying new technologies.  Acquired an understanding of computer systems architecture and enterprise-wide applications.</w:t>
      </w:r>
    </w:p>
    <w:p>
      <w:pPr>
        <w:pStyle w:val="CompanyName"/>
        <w:pBdr>
          <w:left w:val="nil"/>
        </w:pBdr>
        <w:rPr>
          <w:rFonts w:ascii="Times New Roman" w:hAnsi="Times New Roman" w:cs="Times New Roman"/>
          <w:sz w:val="22"/>
        </w:rPr>
      </w:pPr>
      <w:r>
        <w:rPr>
          <w:rFonts w:cs="Times New Roman" w:ascii="Times New Roman" w:hAnsi="Times New Roman"/>
          <w:sz w:val="22"/>
        </w:rPr>
      </w:r>
    </w:p>
    <w:p>
      <w:pPr>
        <w:pStyle w:val="CompanyName"/>
        <w:pBdr>
          <w:left w:val="nil"/>
        </w:pBdr>
        <w:rPr>
          <w:sz w:val="22"/>
        </w:rPr>
      </w:pPr>
      <w:r>
        <w:rPr>
          <w:sz w:val="22"/>
        </w:rPr>
      </w:r>
    </w:p>
    <w:p>
      <w:pPr>
        <w:pStyle w:val="CompanyName"/>
        <w:pBdr>
          <w:left w:val="nil"/>
        </w:pBdr>
        <w:rPr>
          <w:sz w:val="22"/>
        </w:rPr>
      </w:pPr>
      <w:r>
        <w:rPr>
          <w:sz w:val="22"/>
        </w:rPr>
      </w:r>
    </w:p>
    <w:p>
      <w:pPr>
        <w:pStyle w:val="CompanyName"/>
        <w:pBdr>
          <w:left w:val="nil"/>
        </w:pBdr>
        <w:rPr>
          <w:rFonts w:ascii="Times New Roman" w:hAnsi="Times New Roman" w:cs="Times New Roman"/>
          <w:sz w:val="22"/>
        </w:rPr>
      </w:pPr>
      <w:r>
        <w:rPr>
          <w:rFonts w:cs="Times New Roman" w:ascii="Times New Roman" w:hAnsi="Times New Roman"/>
          <w:sz w:val="22"/>
        </w:rPr>
        <w:t>1978-1985, CMS Energy, Michigan:</w:t>
      </w:r>
    </w:p>
    <w:p>
      <w:pPr>
        <w:pStyle w:val="Achievement"/>
        <w:pBdr>
          <w:left w:val="nil"/>
        </w:pBdr>
        <w:tabs>
          <w:tab w:val="clear" w:pos="720"/>
          <w:tab w:val="left" w:pos="360" w:leader="none"/>
        </w:tabs>
        <w:rPr>
          <w:rFonts w:ascii="Times New Roman" w:hAnsi="Times New Roman" w:cs="Times New Roman"/>
          <w:sz w:val="22"/>
        </w:rPr>
      </w:pPr>
      <w:r>
        <w:rPr>
          <w:rFonts w:cs="Times New Roman"/>
          <w:sz w:val="22"/>
        </w:rPr>
      </w:r>
    </w:p>
    <w:p>
      <w:pPr>
        <w:pStyle w:val="Achievement"/>
        <w:numPr>
          <w:ilvl w:val="0"/>
          <w:numId w:val="4"/>
        </w:numPr>
        <w:pBdr>
          <w:left w:val="nil"/>
        </w:pBdr>
        <w:rPr>
          <w:b/>
          <w:sz w:val="22"/>
        </w:rPr>
      </w:pPr>
      <w:r>
        <w:rPr>
          <w:sz w:val="22"/>
        </w:rPr>
        <w:t xml:space="preserve">Held various accounting and internal audit positions throughout CMS’s production, distribution, and general office organization.  Pioneered the Controller’s function in production plants through contractor audits and budget control reporting.  Successfully piloted the application of personal computing technology in the finance area.  I was instrumental in designing, programming, and implementing an accounts receivable application that was used throughout the company’s customer service regions. </w:t>
      </w:r>
    </w:p>
    <w:p>
      <w:pPr>
        <w:pStyle w:val="Achievement"/>
        <w:pBdr>
          <w:left w:val="nil"/>
        </w:pBdr>
        <w:tabs>
          <w:tab w:val="clear" w:pos="720"/>
          <w:tab w:val="left" w:pos="360" w:leader="none"/>
        </w:tabs>
        <w:rPr>
          <w:b/>
          <w:sz w:val="22"/>
        </w:rPr>
      </w:pPr>
      <w:r>
        <w:rPr>
          <w:b/>
          <w:sz w:val="22"/>
        </w:rPr>
      </w:r>
    </w:p>
    <w:p>
      <w:pPr>
        <w:pStyle w:val="Achievement"/>
        <w:pBdr>
          <w:left w:val="nil"/>
        </w:pBdr>
        <w:tabs>
          <w:tab w:val="clear" w:pos="720"/>
          <w:tab w:val="left" w:pos="360" w:leader="none"/>
        </w:tabs>
        <w:rPr>
          <w:sz w:val="22"/>
        </w:rPr>
      </w:pPr>
      <w:r>
        <w:rPr>
          <w:sz w:val="22"/>
        </w:rPr>
      </w:r>
    </w:p>
    <w:p>
      <w:pPr>
        <w:pStyle w:val="SectionTitle"/>
        <w:numPr>
          <w:ilvl w:val="0"/>
          <w:numId w:val="0"/>
        </w:numPr>
        <w:pBdr>
          <w:left w:val="nil"/>
        </w:pBdr>
        <w:ind w:hanging="0" w:start="0"/>
        <w:jc w:val="center"/>
        <w:rPr>
          <w:sz w:val="22"/>
        </w:rPr>
      </w:pPr>
      <w:r>
        <w:rPr>
          <w:sz w:val="22"/>
        </w:rPr>
      </w:r>
    </w:p>
    <w:p>
      <w:pPr>
        <w:pStyle w:val="SectionTitle"/>
        <w:numPr>
          <w:ilvl w:val="0"/>
          <w:numId w:val="0"/>
        </w:numPr>
        <w:pBdr>
          <w:left w:val="nil"/>
        </w:pBdr>
        <w:ind w:hanging="0" w:start="0"/>
        <w:jc w:val="center"/>
        <w:rPr/>
      </w:pPr>
      <w:r>
        <w:rPr/>
        <w:t>Recent Accomplishments</w:t>
      </w:r>
    </w:p>
    <w:p>
      <w:pPr>
        <w:pStyle w:val="SectionTitle"/>
        <w:numPr>
          <w:ilvl w:val="0"/>
          <w:numId w:val="2"/>
        </w:numPr>
        <w:pBdr>
          <w:left w:val="nil"/>
        </w:pBdr>
        <w:rPr>
          <w:b w:val="false"/>
          <w:sz w:val="22"/>
        </w:rPr>
      </w:pPr>
      <w:r>
        <w:rPr>
          <w:b w:val="false"/>
          <w:sz w:val="22"/>
        </w:rPr>
        <w:t>Negotiated beneficial credit / debit card contracts. Fiscal 2000 hard dollar savings exceed $1.0 million annually.</w:t>
      </w:r>
    </w:p>
    <w:p>
      <w:pPr>
        <w:pStyle w:val="SectionTitle"/>
        <w:numPr>
          <w:ilvl w:val="0"/>
          <w:numId w:val="2"/>
        </w:numPr>
        <w:pBdr>
          <w:left w:val="nil"/>
        </w:pBdr>
        <w:rPr>
          <w:b w:val="false"/>
          <w:sz w:val="22"/>
        </w:rPr>
      </w:pPr>
      <w:r>
        <w:rPr>
          <w:b w:val="false"/>
          <w:sz w:val="22"/>
        </w:rPr>
        <w:t>Reduced idle bank balances and freed $10.0 million for daily company use, leveraged inter-state banking opportunities.  Resulting net interest savings exceed $600,000 annually.</w:t>
      </w:r>
    </w:p>
    <w:p>
      <w:pPr>
        <w:pStyle w:val="SectionTitle"/>
        <w:numPr>
          <w:ilvl w:val="0"/>
          <w:numId w:val="2"/>
        </w:numPr>
        <w:pBdr>
          <w:left w:val="nil"/>
        </w:pBdr>
        <w:rPr>
          <w:b w:val="false"/>
          <w:sz w:val="22"/>
        </w:rPr>
      </w:pPr>
      <w:r>
        <w:rPr>
          <w:b w:val="false"/>
          <w:sz w:val="22"/>
        </w:rPr>
        <w:t>Developed bank relationship strategy for managing financial industry mergers.</w:t>
      </w:r>
    </w:p>
    <w:p>
      <w:pPr>
        <w:pStyle w:val="SectionTitle"/>
        <w:numPr>
          <w:ilvl w:val="0"/>
          <w:numId w:val="2"/>
        </w:numPr>
        <w:pBdr>
          <w:left w:val="nil"/>
        </w:pBdr>
        <w:rPr>
          <w:b w:val="false"/>
          <w:sz w:val="22"/>
        </w:rPr>
      </w:pPr>
      <w:r>
        <w:rPr>
          <w:b w:val="false"/>
          <w:sz w:val="22"/>
        </w:rPr>
        <w:t xml:space="preserve">Actively manage an investment portfolio that reaches $500 million.  Drafted and implemented the company’s short-term investment policy.  I consistently outperform IBC’s money market fund index.  Pre-tax investment income averages $15.0 million per year. </w:t>
      </w:r>
    </w:p>
    <w:p>
      <w:pPr>
        <w:pStyle w:val="SectionTitle"/>
        <w:numPr>
          <w:ilvl w:val="0"/>
          <w:numId w:val="2"/>
        </w:numPr>
        <w:pBdr>
          <w:left w:val="nil"/>
        </w:pBdr>
        <w:rPr>
          <w:b w:val="false"/>
          <w:sz w:val="22"/>
        </w:rPr>
      </w:pPr>
      <w:r>
        <w:rPr>
          <w:b w:val="false"/>
          <w:sz w:val="22"/>
        </w:rPr>
        <w:t xml:space="preserve">Managed company growth and complexity while maintaining a constant Treasury Management staff level.  Benchmark statistics indicate we are 10 times more efficient than the median in our peer group. </w:t>
      </w:r>
    </w:p>
    <w:p>
      <w:pPr>
        <w:pStyle w:val="SectionTitle"/>
        <w:numPr>
          <w:ilvl w:val="0"/>
          <w:numId w:val="2"/>
        </w:numPr>
        <w:pBdr>
          <w:left w:val="nil"/>
        </w:pBdr>
        <w:rPr>
          <w:b w:val="false"/>
          <w:sz w:val="22"/>
        </w:rPr>
      </w:pPr>
      <w:r>
        <w:rPr>
          <w:b w:val="false"/>
          <w:sz w:val="22"/>
        </w:rPr>
        <w:t xml:space="preserve">Significantly enhanced funds availability leveraged inter-state banking regulation opportunities.  </w:t>
      </w:r>
    </w:p>
    <w:p>
      <w:pPr>
        <w:pStyle w:val="SectionTitle"/>
        <w:numPr>
          <w:ilvl w:val="0"/>
          <w:numId w:val="2"/>
        </w:numPr>
        <w:pBdr>
          <w:left w:val="nil"/>
        </w:pBdr>
        <w:rPr>
          <w:b w:val="false"/>
          <w:sz w:val="22"/>
        </w:rPr>
      </w:pPr>
      <w:r>
        <w:rPr>
          <w:b w:val="false"/>
          <w:sz w:val="22"/>
        </w:rPr>
        <w:t xml:space="preserve">Managed disbursements systems (internal and banking) to retain funds while meeting vendor commitments.  Used Phoenix-Hecht studies to fine tune check clearing float.  Last year’s efforts yielded $75,000 annual interest savings.    </w:t>
      </w:r>
    </w:p>
    <w:p>
      <w:pPr>
        <w:pStyle w:val="SectionTitle"/>
        <w:numPr>
          <w:ilvl w:val="0"/>
          <w:numId w:val="2"/>
        </w:numPr>
        <w:pBdr>
          <w:left w:val="nil"/>
        </w:pBdr>
        <w:rPr>
          <w:b w:val="false"/>
          <w:sz w:val="22"/>
        </w:rPr>
      </w:pPr>
      <w:r>
        <w:rPr>
          <w:b w:val="false"/>
          <w:sz w:val="22"/>
        </w:rPr>
        <w:t xml:space="preserve">Negotiated uncommitted credit lines and associated promissory notes, which provided a lower cost alternative to committed facilities. </w:t>
      </w:r>
    </w:p>
    <w:p>
      <w:pPr>
        <w:pStyle w:val="SectionTitle"/>
        <w:numPr>
          <w:ilvl w:val="0"/>
          <w:numId w:val="2"/>
        </w:numPr>
        <w:pBdr>
          <w:left w:val="nil"/>
        </w:pBdr>
        <w:rPr>
          <w:b w:val="false"/>
          <w:sz w:val="22"/>
        </w:rPr>
      </w:pPr>
      <w:r>
        <w:rPr>
          <w:b w:val="false"/>
          <w:sz w:val="22"/>
        </w:rPr>
        <w:t xml:space="preserve">Designed and successfully marketed internal company ROI/NPV model for project proposal assessment.  I lead a team responsible for the model’s cross-functional application.  The model must be used for any proposal requiring IT resources.  </w:t>
      </w:r>
    </w:p>
    <w:p>
      <w:pPr>
        <w:pStyle w:val="SectionTitle"/>
        <w:numPr>
          <w:ilvl w:val="0"/>
          <w:numId w:val="2"/>
        </w:numPr>
        <w:pBdr>
          <w:left w:val="nil"/>
        </w:pBdr>
        <w:rPr>
          <w:b w:val="false"/>
          <w:sz w:val="22"/>
        </w:rPr>
      </w:pPr>
      <w:r>
        <w:rPr>
          <w:b w:val="false"/>
          <w:sz w:val="22"/>
        </w:rPr>
        <w:t xml:space="preserve">Negotiated favorable FEDI/EFT contract/system. Assured FEDI / EFT vendor payments are company, cash flow, and operations beneficial.  </w:t>
      </w:r>
    </w:p>
    <w:p>
      <w:pPr>
        <w:pStyle w:val="SectionTitle"/>
        <w:numPr>
          <w:ilvl w:val="0"/>
          <w:numId w:val="2"/>
        </w:numPr>
        <w:pBdr>
          <w:left w:val="nil"/>
        </w:pBdr>
        <w:rPr>
          <w:b w:val="false"/>
          <w:sz w:val="22"/>
        </w:rPr>
      </w:pPr>
      <w:r>
        <w:rPr>
          <w:b w:val="false"/>
          <w:sz w:val="22"/>
        </w:rPr>
        <w:t xml:space="preserve">Developed and implemented equipment lease financing program.  Helped negotiate master leases and schedules and advise business units regarding contract and budget strategy.  </w:t>
      </w:r>
    </w:p>
    <w:p>
      <w:pPr>
        <w:pStyle w:val="CompanyName"/>
        <w:pBdr>
          <w:left w:val="nil"/>
        </w:pBdr>
        <w:rPr>
          <w:b w:val="false"/>
          <w:sz w:val="22"/>
        </w:rPr>
      </w:pPr>
      <w:r>
        <w:rPr>
          <w:b w:val="false"/>
          <w:sz w:val="22"/>
        </w:rPr>
      </w:r>
    </w:p>
    <w:p>
      <w:pPr>
        <w:pStyle w:val="CompanyName"/>
        <w:pBdr>
          <w:left w:val="nil"/>
        </w:pBdr>
        <w:rPr>
          <w:b w:val="false"/>
        </w:rPr>
      </w:pPr>
      <w:r>
        <w:rPr>
          <w:b w:val="false"/>
        </w:rPr>
      </w:r>
    </w:p>
    <w:p>
      <w:pPr>
        <w:pStyle w:val="CompanyName"/>
        <w:pBdr>
          <w:left w:val="nil"/>
        </w:pBdr>
        <w:rPr>
          <w:sz w:val="22"/>
        </w:rPr>
      </w:pPr>
      <w:r>
        <w:rPr>
          <w:rFonts w:eastAsia="Arial"/>
          <w:b w:val="false"/>
        </w:rPr>
        <w:t xml:space="preserve"> </w:t>
      </w:r>
    </w:p>
    <w:p>
      <w:pPr>
        <w:pStyle w:val="SectionTitle"/>
        <w:numPr>
          <w:ilvl w:val="0"/>
          <w:numId w:val="0"/>
        </w:numPr>
        <w:pBdr>
          <w:left w:val="nil"/>
        </w:pBdr>
        <w:ind w:hanging="0" w:start="0"/>
        <w:jc w:val="center"/>
        <w:rPr/>
      </w:pPr>
      <w:r>
        <w:rPr/>
        <w:t>Professional Memberships</w:t>
      </w:r>
    </w:p>
    <w:p>
      <w:pPr>
        <w:pStyle w:val="Achievement"/>
        <w:numPr>
          <w:ilvl w:val="0"/>
          <w:numId w:val="0"/>
        </w:numPr>
        <w:pBdr>
          <w:left w:val="nil"/>
        </w:pBdr>
        <w:ind w:hanging="0" w:start="0"/>
        <w:rPr/>
      </w:pPr>
      <w:r>
        <w:rPr/>
        <w:t xml:space="preserve">      </w:t>
      </w:r>
      <w:r>
        <w:rPr>
          <w:sz w:val="22"/>
        </w:rPr>
        <w:tab/>
        <w:tab/>
        <w:tab/>
        <w:tab/>
      </w:r>
    </w:p>
    <w:p>
      <w:pPr>
        <w:pStyle w:val="Achievement"/>
        <w:numPr>
          <w:ilvl w:val="0"/>
          <w:numId w:val="6"/>
        </w:numPr>
        <w:pBdr>
          <w:left w:val="nil"/>
        </w:pBdr>
        <w:rPr>
          <w:sz w:val="22"/>
        </w:rPr>
      </w:pPr>
      <w:r>
        <w:rPr>
          <w:sz w:val="22"/>
        </w:rPr>
        <w:t>Association of Financial Professionals (formerly Treasury Management Association)</w:t>
      </w:r>
    </w:p>
    <w:p>
      <w:pPr>
        <w:pStyle w:val="Achievement"/>
        <w:numPr>
          <w:ilvl w:val="0"/>
          <w:numId w:val="6"/>
        </w:numPr>
        <w:pBdr>
          <w:left w:val="nil"/>
        </w:pBdr>
        <w:rPr>
          <w:rFonts w:ascii="Arial" w:hAnsi="Arial" w:cs="Arial"/>
          <w:sz w:val="22"/>
        </w:rPr>
      </w:pPr>
      <w:r>
        <w:rPr>
          <w:sz w:val="22"/>
        </w:rPr>
        <w:t>Western Michigan Treasury Management Association (affiliated local chapter), including terms as Chapter President and Vice President, plus conference committee work</w:t>
      </w:r>
      <w:r>
        <w:rPr>
          <w:rFonts w:cs="Arial" w:ascii="Arial" w:hAnsi="Arial"/>
          <w:sz w:val="22"/>
        </w:rPr>
        <w:t>.</w:t>
      </w:r>
    </w:p>
    <w:p>
      <w:pPr>
        <w:pStyle w:val="Normal"/>
        <w:rPr>
          <w:rFonts w:ascii="Arial" w:hAnsi="Arial" w:cs="Arial"/>
          <w:sz w:val="22"/>
        </w:rPr>
      </w:pPr>
      <w:r>
        <w:rPr>
          <w:rFonts w:cs="Arial" w:ascii="Arial" w:hAnsi="Arial"/>
          <w:sz w:val="22"/>
        </w:rPr>
      </w:r>
    </w:p>
    <w:p>
      <w:pPr>
        <w:pStyle w:val="Normal"/>
        <w:rPr>
          <w:sz w:val="22"/>
        </w:rPr>
      </w:pPr>
      <w:r>
        <w:rPr>
          <w:sz w:val="22"/>
        </w:rPr>
      </w:r>
    </w:p>
    <w:p>
      <w:pPr>
        <w:pStyle w:val="Normal"/>
        <w:rPr>
          <w:sz w:val="22"/>
        </w:rPr>
      </w:pPr>
      <w:r>
        <w:rPr>
          <w:sz w:val="22"/>
        </w:rPr>
      </w:r>
    </w:p>
    <w:p>
      <w:pPr>
        <w:pStyle w:val="Normal"/>
        <w:rPr/>
      </w:pPr>
      <w:r>
        <w:rPr/>
      </w:r>
    </w:p>
    <w:p>
      <w:pPr>
        <w:pStyle w:val="SectionTitle"/>
        <w:pBdr>
          <w:left w:val="nil"/>
        </w:pBdr>
        <w:jc w:val="center"/>
        <w:rPr/>
      </w:pPr>
      <w:r>
        <w:rPr/>
        <w:t>Education</w:t>
      </w:r>
    </w:p>
    <w:p>
      <w:pPr>
        <w:pStyle w:val="Institution"/>
        <w:pBdr>
          <w:left w:val="nil"/>
        </w:pBdr>
        <w:rPr>
          <w:rFonts w:ascii="Times New Roman" w:hAnsi="Times New Roman" w:cs="Times New Roman"/>
          <w:sz w:val="22"/>
        </w:rPr>
      </w:pPr>
      <w:r>
        <w:rPr>
          <w:rFonts w:cs="Times New Roman" w:ascii="Times New Roman" w:hAnsi="Times New Roman"/>
          <w:sz w:val="22"/>
        </w:rPr>
        <w:t>Michigan State University</w:t>
      </w:r>
    </w:p>
    <w:p>
      <w:pPr>
        <w:pStyle w:val="CityState"/>
        <w:pBdr>
          <w:left w:val="nil"/>
        </w:pBdr>
        <w:rPr>
          <w:sz w:val="22"/>
        </w:rPr>
      </w:pPr>
      <w:r>
        <w:rPr>
          <w:sz w:val="22"/>
        </w:rPr>
        <w:t>East Lansing, Michigan</w:t>
      </w:r>
    </w:p>
    <w:p>
      <w:pPr>
        <w:pStyle w:val="Achievement"/>
        <w:pBdr>
          <w:left w:val="nil"/>
        </w:pBdr>
        <w:rPr>
          <w:sz w:val="22"/>
        </w:rPr>
      </w:pPr>
      <w:r>
        <w:rPr>
          <w:sz w:val="22"/>
        </w:rPr>
        <w:t xml:space="preserve">Bachelors Degree in Accounting </w:t>
      </w:r>
    </w:p>
    <w:p>
      <w:pPr>
        <w:pStyle w:val="Institution"/>
        <w:pBdr>
          <w:left w:val="nil"/>
        </w:pBdr>
        <w:rPr>
          <w:rFonts w:ascii="Times New Roman" w:hAnsi="Times New Roman" w:cs="Times New Roman"/>
          <w:sz w:val="22"/>
        </w:rPr>
      </w:pPr>
      <w:r>
        <w:rPr>
          <w:rFonts w:cs="Times New Roman" w:ascii="Times New Roman" w:hAnsi="Times New Roman"/>
          <w:sz w:val="22"/>
        </w:rPr>
        <w:t>Western Michigan University</w:t>
      </w:r>
    </w:p>
    <w:p>
      <w:pPr>
        <w:pStyle w:val="CityState"/>
        <w:pBdr>
          <w:left w:val="nil"/>
        </w:pBdr>
        <w:rPr>
          <w:sz w:val="22"/>
        </w:rPr>
      </w:pPr>
      <w:r>
        <w:rPr>
          <w:sz w:val="22"/>
        </w:rPr>
        <w:t>Kalamazoo, Michigan</w:t>
      </w:r>
    </w:p>
    <w:p>
      <w:pPr>
        <w:pStyle w:val="Achievement"/>
        <w:pBdr>
          <w:left w:val="nil"/>
        </w:pBdr>
        <w:rPr/>
      </w:pPr>
      <w:r>
        <w:rPr>
          <w:sz w:val="22"/>
        </w:rPr>
        <w:t>Masters Degree in Business Administration, concentration in Finance</w:t>
      </w:r>
      <w:r>
        <w:rPr/>
        <w:t xml:space="preserve"> </w:t>
      </w:r>
    </w:p>
    <w:p>
      <w:pPr>
        <w:pStyle w:val="Normal"/>
        <w:rPr/>
      </w:pPr>
      <w:r>
        <w:rPr/>
      </w:r>
    </w:p>
    <w:p>
      <w:pPr>
        <w:pStyle w:val="Normal"/>
        <w:rPr/>
      </w:pPr>
      <w:r>
        <w:rPr/>
      </w:r>
    </w:p>
    <w:p>
      <w:pPr>
        <w:pStyle w:val="Normal"/>
        <w:rPr/>
      </w:pPr>
      <w:r>
        <w:rPr/>
      </w:r>
    </w:p>
    <w:p>
      <w:pPr>
        <w:pStyle w:val="Normal"/>
        <w:rPr/>
      </w:pPr>
      <w:r>
        <w:rPr/>
      </w:r>
    </w:p>
    <w:p>
      <w:pPr>
        <w:pStyle w:val="SectionTitle"/>
        <w:pBdr>
          <w:left w:val="nil"/>
        </w:pBdr>
        <w:jc w:val="center"/>
        <w:rPr/>
      </w:pPr>
      <w:r>
        <w:rPr/>
        <w:t>References</w:t>
      </w:r>
    </w:p>
    <w:p>
      <w:pPr>
        <w:pStyle w:val="Achievement"/>
        <w:pBdr>
          <w:left w:val="nil"/>
        </w:pBdr>
        <w:rPr/>
      </w:pPr>
      <w:r>
        <w:rPr/>
      </w:r>
    </w:p>
    <w:p>
      <w:pPr>
        <w:pStyle w:val="Achievement"/>
        <w:pBdr>
          <w:left w:val="nil"/>
        </w:pBdr>
        <w:rPr>
          <w:sz w:val="22"/>
        </w:rPr>
      </w:pPr>
      <w:r>
        <w:rPr>
          <w:sz w:val="22"/>
        </w:rPr>
        <w:t>Kathy Pankratz, Senior Vice President, Fifth Third Bank, Grand Rapids</w:t>
      </w:r>
    </w:p>
    <w:p>
      <w:pPr>
        <w:pStyle w:val="Achievement"/>
        <w:pBdr>
          <w:left w:val="nil"/>
        </w:pBdr>
        <w:rPr>
          <w:sz w:val="22"/>
        </w:rPr>
      </w:pPr>
      <w:r>
        <w:rPr>
          <w:sz w:val="22"/>
        </w:rPr>
        <w:t>Greg Glyman, Senior Vice President, Investments, UBS Paine Webber, Chicago</w:t>
      </w:r>
    </w:p>
    <w:p>
      <w:pPr>
        <w:pStyle w:val="Normal"/>
        <w:rPr>
          <w:sz w:val="22"/>
        </w:rPr>
      </w:pPr>
      <w:r>
        <w:rPr>
          <w:sz w:val="22"/>
        </w:rPr>
        <w:t>Michael Sipos, Senior Sales Executive, Bottom Line Technologies, Indianapolis</w:t>
      </w:r>
    </w:p>
    <w:p>
      <w:pPr>
        <w:pStyle w:val="Normal"/>
        <w:rPr>
          <w:sz w:val="22"/>
        </w:rPr>
      </w:pPr>
      <w:r>
        <w:rPr>
          <w:sz w:val="22"/>
        </w:rPr>
      </w:r>
    </w:p>
    <w:p>
      <w:pPr>
        <w:pStyle w:val="Normal"/>
        <w:rPr/>
      </w:pPr>
      <w:r>
        <w:rPr>
          <w:sz w:val="22"/>
        </w:rPr>
        <w:t>Additional references available upon request</w:t>
      </w:r>
      <w:r>
        <w:rPr/>
        <w:t>.</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405" w:hanging="360"/>
      </w:pPr>
      <w:rPr>
        <w:rFonts w:ascii="Symbol" w:hAnsi="Symbol" w:cs="Symbol" w:hint="default"/>
      </w:rPr>
    </w:lvl>
  </w:abstractNum>
  <w:abstractNum w:abstractNumId="3">
    <w:lvl w:ilvl="0">
      <w:start w:val="1"/>
      <w:numFmt w:val="bullet"/>
      <w:lvlText w:val=""/>
      <w:lvlJc w:val="start"/>
      <w:pPr>
        <w:tabs>
          <w:tab w:val="num" w:pos="360"/>
        </w:tabs>
        <w:ind w:start="405"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360"/>
        </w:tabs>
        <w:ind w:start="405" w:hanging="360"/>
      </w:pPr>
      <w:rPr>
        <w:rFonts w:ascii="Symbol" w:hAnsi="Symbol" w:cs="Symbol" w:hint="default"/>
      </w:rPr>
    </w:lvl>
  </w:abstractNum>
  <w:abstractNum w:abstractNumId="6">
    <w:lvl w:ilvl="0">
      <w:numFmt w:val="bullet"/>
      <w:lvlText w:val=""/>
      <w:lvlJc w:val="start"/>
      <w:pPr>
        <w:tabs>
          <w:tab w:val="num" w:pos="360"/>
        </w:tabs>
        <w:ind w:start="405"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b/>
      <w:i/>
      <w:sz w:val="22"/>
    </w:rPr>
  </w:style>
  <w:style w:type="paragraph" w:styleId="Heading3">
    <w:name w:val="heading 3"/>
    <w:basedOn w:val="Normal"/>
    <w:next w:val="Normal"/>
    <w:qFormat/>
    <w:pPr>
      <w:keepNext w:val="true"/>
      <w:numPr>
        <w:ilvl w:val="2"/>
        <w:numId w:val="1"/>
      </w:numPr>
      <w:jc w:val="center"/>
      <w:outlineLvl w:val="2"/>
    </w:pPr>
    <w:rPr>
      <w:b/>
      <w:sz w:val="22"/>
      <w:u w:val="single"/>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i/>
      <w:sz w:val="24"/>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St1z0">
    <w:name w:val="WW8NumSt1z0"/>
    <w:qFormat/>
    <w:rPr>
      <w:rFonts w:ascii="Symbol" w:hAnsi="Symbol" w:cs="Symbol"/>
    </w:rPr>
  </w:style>
  <w:style w:type="character" w:styleId="WW8NumSt7z0">
    <w:name w:val="WW8NumSt7z0"/>
    <w:qFormat/>
    <w:rPr>
      <w:rFonts w:ascii="Symbol" w:hAnsi="Symbol" w:cs="Symbol"/>
    </w:rPr>
  </w:style>
  <w:style w:type="character" w:styleId="WW8NumSt8z0">
    <w:name w:val="WW8NumSt8z0"/>
    <w:qFormat/>
    <w:rPr>
      <w:rFonts w:ascii="Symbol" w:hAnsi="Symbol" w:cs="Symbol"/>
    </w:rPr>
  </w:style>
  <w:style w:type="character" w:styleId="WW8NumSt10z0">
    <w:name w:val="WW8NumSt10z0"/>
    <w:qFormat/>
    <w:rPr>
      <w:rFonts w:ascii="Symbol" w:hAnsi="Symbol" w:cs="Symbol"/>
    </w:rPr>
  </w:style>
  <w:style w:type="character" w:styleId="WW8NumSt11z0">
    <w:name w:val="WW8NumSt11z0"/>
    <w:qFormat/>
    <w:rPr>
      <w:rFonts w:ascii="Symbol" w:hAnsi="Symbol" w:cs="Symbol"/>
    </w:rPr>
  </w:style>
  <w:style w:type="character" w:styleId="WW8NumSt12z0">
    <w:name w:val="WW8NumSt12z0"/>
    <w:qFormat/>
    <w:rPr>
      <w:rFonts w:ascii="Symbol" w:hAnsi="Symbol" w:cs="Symbol"/>
    </w:rPr>
  </w:style>
  <w:style w:type="character" w:styleId="WW8NumSt13z0">
    <w:name w:val="WW8NumSt13z0"/>
    <w:qFormat/>
    <w:rPr>
      <w:rFonts w:ascii="Symbol" w:hAnsi="Symbol" w:cs="Symbol"/>
    </w:rPr>
  </w:style>
  <w:style w:type="character" w:styleId="WW8NumSt14z0">
    <w:name w:val="WW8NumSt14z0"/>
    <w:qFormat/>
    <w:rPr>
      <w:rFonts w:ascii="Symbol" w:hAnsi="Symbol" w:cs="Symbol"/>
    </w:rPr>
  </w:style>
  <w:style w:type="character" w:styleId="WW8NumSt18z0">
    <w:name w:val="WW8NumSt1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6"/>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panyName">
    <w:name w:val="Company Name"/>
    <w:basedOn w:val="BodyText"/>
    <w:qFormat/>
    <w:pPr>
      <w:keepNext w:val="true"/>
      <w:pBdr>
        <w:left w:val="single" w:sz="6" w:space="5" w:color="000000"/>
      </w:pBdr>
      <w:spacing w:before="160" w:after="0"/>
    </w:pPr>
    <w:rPr>
      <w:rFonts w:ascii="Arial" w:hAnsi="Arial" w:cs="Arial"/>
      <w:b/>
      <w:sz w:val="20"/>
    </w:rPr>
  </w:style>
  <w:style w:type="paragraph" w:styleId="SectionTitle">
    <w:name w:val="Section Title"/>
    <w:basedOn w:val="Normal"/>
    <w:qFormat/>
    <w:pPr>
      <w:keepNext w:val="true"/>
      <w:pBdr>
        <w:left w:val="single" w:sz="6" w:space="5" w:color="000000"/>
      </w:pBdr>
      <w:spacing w:before="240" w:after="0"/>
    </w:pPr>
    <w:rPr>
      <w:b/>
      <w:sz w:val="28"/>
    </w:rPr>
  </w:style>
  <w:style w:type="paragraph" w:styleId="Achievement">
    <w:name w:val="Achievement"/>
    <w:basedOn w:val="Normal"/>
    <w:qFormat/>
    <w:pPr>
      <w:pBdr>
        <w:left w:val="single" w:sz="6" w:space="5" w:color="000000"/>
      </w:pBdr>
      <w:spacing w:before="0" w:after="80"/>
    </w:pPr>
    <w:rPr/>
  </w:style>
  <w:style w:type="paragraph" w:styleId="CityState">
    <w:name w:val="City/State"/>
    <w:basedOn w:val="BodyText"/>
    <w:qFormat/>
    <w:pPr>
      <w:keepNext w:val="true"/>
      <w:pBdr>
        <w:left w:val="single" w:sz="6" w:space="5" w:color="000000"/>
      </w:pBdr>
    </w:pPr>
    <w:rPr>
      <w:b/>
      <w:i/>
      <w:sz w:val="20"/>
    </w:rPr>
  </w:style>
  <w:style w:type="paragraph" w:styleId="Institution">
    <w:name w:val="Institution"/>
    <w:basedOn w:val="BodyText"/>
    <w:qFormat/>
    <w:pPr>
      <w:keepNext w:val="true"/>
      <w:pBdr>
        <w:left w:val="single" w:sz="6" w:space="5" w:color="000000"/>
      </w:pBdr>
      <w:spacing w:before="160" w:after="0"/>
    </w:pPr>
    <w:rPr>
      <w:rFonts w:ascii="Arial" w:hAnsi="Arial" w:cs="Arial"/>
      <w:b/>
      <w:sz w:val="20"/>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2001-07-19T18:03:00Z</dcterms:created>
  <dc:creator>Linda Dutcher</dc:creator>
  <dc:description/>
  <dc:language>en-CA</dc:language>
  <cp:lastModifiedBy>Gene May</cp:lastModifiedBy>
  <cp:lastPrinted>2001-04-25T21:57:00Z</cp:lastPrinted>
  <dcterms:modified xsi:type="dcterms:W3CDTF">2001-07-20T17:42:00Z</dcterms:modified>
  <cp:revision>9</cp:revision>
  <dc:subject/>
  <dc:title>Gregory S</dc:title>
</cp:coreProperties>
</file>