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4"/>
        <w:ind w:hanging="0" w:start="0"/>
        <w:rPr/>
      </w:pPr>
      <w:r>
        <w:rPr/>
        <w:t>May Power Questions</w:t>
      </w:r>
    </w:p>
    <w:p>
      <w:pPr>
        <w:pStyle w:val="Normal"/>
        <w:rPr>
          <w:b/>
        </w:rPr>
      </w:pPr>
      <w:r>
        <w:rPr>
          <w:b/>
        </w:rPr>
      </w:r>
    </w:p>
    <w:p>
      <w:pPr>
        <w:pStyle w:val="Normal"/>
        <w:numPr>
          <w:ilvl w:val="0"/>
          <w:numId w:val="16"/>
        </w:numPr>
        <w:rPr/>
      </w:pPr>
      <w:r>
        <w:rPr/>
        <w:t>Let’s discuss any significant transactions that occurred during May, including Green Mountain and the various transactions done on the last day of the month (approx. $(8.5) million originations P&amp;L).</w:t>
      </w:r>
    </w:p>
    <w:p>
      <w:pPr>
        <w:pStyle w:val="Normal"/>
        <w:rPr/>
      </w:pPr>
      <w:r>
        <w:rPr/>
      </w:r>
    </w:p>
    <w:p>
      <w:pPr>
        <w:pStyle w:val="Normal"/>
        <w:numPr>
          <w:ilvl w:val="0"/>
          <w:numId w:val="16"/>
        </w:numPr>
        <w:rPr/>
      </w:pPr>
      <w:r>
        <w:rPr/>
        <w:t>What new curves or books have been added in May, if any?</w:t>
      </w:r>
    </w:p>
    <w:p>
      <w:pPr>
        <w:pStyle w:val="Normal"/>
        <w:rPr/>
      </w:pPr>
      <w:r>
        <w:rPr/>
      </w:r>
    </w:p>
    <w:p>
      <w:pPr>
        <w:pStyle w:val="Normal"/>
        <w:numPr>
          <w:ilvl w:val="0"/>
          <w:numId w:val="16"/>
        </w:numPr>
        <w:rPr>
          <w:color w:val="000000"/>
          <w:lang w:eastAsia="en-US"/>
        </w:rPr>
      </w:pPr>
      <w:r>
        <w:rPr>
          <w:color w:val="000000"/>
          <w:lang w:eastAsia="en-US"/>
        </w:rPr>
        <w:t>Please provide the new deals report for the following:</w:t>
      </w:r>
    </w:p>
    <w:p>
      <w:pPr>
        <w:pStyle w:val="Normal"/>
        <w:rPr>
          <w:color w:val="000000"/>
          <w:lang w:eastAsia="en-US"/>
        </w:rPr>
      </w:pPr>
      <w:r>
        <w:rPr>
          <w:color w:val="000000"/>
          <w:lang w:eastAsia="en-US"/>
        </w:rPr>
      </w:r>
    </w:p>
    <w:p>
      <w:pPr>
        <w:pStyle w:val="Normal"/>
        <w:numPr>
          <w:ilvl w:val="0"/>
          <w:numId w:val="14"/>
        </w:numPr>
        <w:tabs>
          <w:tab w:val="left" w:pos="1134" w:leader="none"/>
          <w:tab w:val="left" w:pos="1417" w:leader="none"/>
        </w:tabs>
        <w:ind w:hanging="283" w:start="1417" w:end="0"/>
        <w:rPr/>
      </w:pPr>
      <w:r>
        <w:rPr>
          <w:color w:val="000000"/>
          <w:lang w:eastAsia="en-US"/>
        </w:rPr>
        <w:t>May 24, 2001- Total LT-Calif</w:t>
      </w:r>
    </w:p>
    <w:p>
      <w:pPr>
        <w:pStyle w:val="Normal"/>
        <w:ind w:firstLine="1140" w:end="0"/>
        <w:rPr/>
      </w:pPr>
      <w:r>
        <w:rPr/>
      </w:r>
    </w:p>
    <w:p>
      <w:pPr>
        <w:pStyle w:val="Normal"/>
        <w:numPr>
          <w:ilvl w:val="0"/>
          <w:numId w:val="16"/>
        </w:numPr>
        <w:rPr/>
      </w:pPr>
      <w:r>
        <w:rPr/>
        <w:t>Please provide new deals reports as of 5/31/01 for the following regions:</w:t>
      </w:r>
    </w:p>
    <w:p>
      <w:pPr>
        <w:pStyle w:val="Normal"/>
        <w:rPr/>
      </w:pPr>
      <w:r>
        <w:rPr/>
      </w:r>
    </w:p>
    <w:p>
      <w:pPr>
        <w:pStyle w:val="Normal"/>
        <w:numPr>
          <w:ilvl w:val="0"/>
          <w:numId w:val="19"/>
        </w:numPr>
        <w:tabs>
          <w:tab w:val="left" w:pos="1134" w:leader="none"/>
          <w:tab w:val="left" w:pos="1423" w:leader="none"/>
        </w:tabs>
        <w:ind w:hanging="283" w:start="1423" w:end="0"/>
        <w:rPr/>
      </w:pPr>
      <w:r>
        <w:rPr/>
        <w:t>R6A</w:t>
      </w:r>
    </w:p>
    <w:p>
      <w:pPr>
        <w:pStyle w:val="Normal"/>
        <w:numPr>
          <w:ilvl w:val="0"/>
          <w:numId w:val="19"/>
        </w:numPr>
        <w:tabs>
          <w:tab w:val="left" w:pos="1134" w:leader="none"/>
          <w:tab w:val="left" w:pos="1423" w:leader="none"/>
        </w:tabs>
        <w:ind w:hanging="283" w:start="1423" w:end="0"/>
        <w:rPr/>
      </w:pPr>
      <w:r>
        <w:rPr/>
        <w:t>R9</w:t>
      </w:r>
    </w:p>
    <w:p>
      <w:pPr>
        <w:pStyle w:val="Normal"/>
        <w:numPr>
          <w:ilvl w:val="0"/>
          <w:numId w:val="19"/>
        </w:numPr>
        <w:tabs>
          <w:tab w:val="left" w:pos="1134" w:leader="none"/>
          <w:tab w:val="left" w:pos="1423" w:leader="none"/>
        </w:tabs>
        <w:ind w:hanging="283" w:start="1423" w:end="0"/>
        <w:rPr/>
      </w:pPr>
      <w:r>
        <w:rPr/>
        <w:t>R1A</w:t>
      </w:r>
    </w:p>
    <w:p>
      <w:pPr>
        <w:pStyle w:val="Normal"/>
        <w:numPr>
          <w:ilvl w:val="0"/>
          <w:numId w:val="19"/>
        </w:numPr>
        <w:tabs>
          <w:tab w:val="left" w:pos="1134" w:leader="none"/>
          <w:tab w:val="left" w:pos="1423" w:leader="none"/>
        </w:tabs>
        <w:ind w:hanging="283" w:start="1423" w:end="0"/>
        <w:rPr/>
      </w:pPr>
      <w:r>
        <w:rPr/>
        <w:t>R4</w:t>
      </w:r>
    </w:p>
    <w:p>
      <w:pPr>
        <w:pStyle w:val="Normal"/>
        <w:numPr>
          <w:ilvl w:val="0"/>
          <w:numId w:val="19"/>
        </w:numPr>
        <w:tabs>
          <w:tab w:val="left" w:pos="1134" w:leader="none"/>
          <w:tab w:val="left" w:pos="1423" w:leader="none"/>
        </w:tabs>
        <w:ind w:hanging="283" w:start="1423" w:end="0"/>
        <w:rPr>
          <w:i/>
          <w:i/>
        </w:rPr>
      </w:pPr>
      <w:r>
        <w:rPr/>
        <w:t>R5</w:t>
      </w:r>
    </w:p>
    <w:p>
      <w:pPr>
        <w:pStyle w:val="Normal"/>
        <w:numPr>
          <w:ilvl w:val="0"/>
          <w:numId w:val="19"/>
        </w:numPr>
        <w:tabs>
          <w:tab w:val="left" w:pos="1134" w:leader="none"/>
          <w:tab w:val="left" w:pos="1423" w:leader="none"/>
        </w:tabs>
        <w:ind w:hanging="283" w:start="1423" w:end="0"/>
        <w:rPr>
          <w:i/>
          <w:i/>
        </w:rPr>
      </w:pPr>
      <w:r>
        <w:rPr/>
        <w:t>R11</w:t>
      </w:r>
    </w:p>
    <w:p>
      <w:pPr>
        <w:pStyle w:val="Normal"/>
        <w:rPr>
          <w:i/>
          <w:i/>
        </w:rPr>
      </w:pPr>
      <w:r>
        <w:rPr>
          <w:i/>
        </w:rPr>
      </w:r>
    </w:p>
    <w:p>
      <w:pPr>
        <w:pStyle w:val="Normal"/>
        <w:numPr>
          <w:ilvl w:val="0"/>
          <w:numId w:val="16"/>
        </w:numPr>
        <w:rPr/>
      </w:pPr>
      <w:r>
        <w:rPr/>
        <w:t xml:space="preserve">Please explain the $12.9 million P&amp;L related to Genco Actuals that impacts the Texas region’s P&amp;L.  Why are Genco results reported under the Texas region on the DPR rather than in the Genco column and the Genco roll?  Is this related to New Albany?  Let’s discuss the support that is available for the $16 million “Genco Actuals” P&amp;L. </w:t>
      </w:r>
    </w:p>
    <w:p>
      <w:pPr>
        <w:pStyle w:val="Normal"/>
        <w:rPr/>
      </w:pPr>
      <w:r>
        <w:rPr/>
      </w:r>
    </w:p>
    <w:p>
      <w:pPr>
        <w:pStyle w:val="Normal"/>
        <w:numPr>
          <w:ilvl w:val="0"/>
          <w:numId w:val="16"/>
        </w:numPr>
        <w:rPr/>
      </w:pPr>
      <w:r>
        <w:rPr>
          <w:color w:val="000000"/>
        </w:rPr>
        <w:t>Please provide support showing that the total New Albany MTM value is less than $5 MM at May 31, 2001.</w:t>
      </w:r>
    </w:p>
    <w:p>
      <w:pPr>
        <w:pStyle w:val="Normal"/>
        <w:rPr/>
      </w:pPr>
      <w:r>
        <w:rPr/>
      </w:r>
    </w:p>
    <w:p>
      <w:pPr>
        <w:pStyle w:val="Normal"/>
        <w:numPr>
          <w:ilvl w:val="0"/>
          <w:numId w:val="16"/>
        </w:numPr>
        <w:rPr/>
      </w:pPr>
      <w:r>
        <w:rPr/>
        <w:t>Please explain and provide support for the $(50) million Adjustment in the long-term NW region.</w:t>
      </w:r>
    </w:p>
    <w:p>
      <w:pPr>
        <w:pStyle w:val="Normal"/>
        <w:rPr/>
      </w:pPr>
      <w:r>
        <w:rPr/>
      </w:r>
    </w:p>
    <w:p>
      <w:pPr>
        <w:pStyle w:val="Normal"/>
        <w:numPr>
          <w:ilvl w:val="0"/>
          <w:numId w:val="16"/>
        </w:numPr>
        <w:rPr/>
      </w:pPr>
      <w:r>
        <w:rPr/>
        <w:t>Please explain and provide support for the $17.4 million of Reconciliation Book to Actual Liquidations P&amp;L for the West Region.  What portion of this P&amp;L is related to CAL-ISO activity?  To the exercise of options?</w:t>
      </w:r>
    </w:p>
    <w:p>
      <w:pPr>
        <w:pStyle w:val="Normal"/>
        <w:rPr/>
      </w:pPr>
      <w:r>
        <w:rPr/>
      </w:r>
    </w:p>
    <w:p>
      <w:pPr>
        <w:pStyle w:val="Normal"/>
        <w:numPr>
          <w:ilvl w:val="0"/>
          <w:numId w:val="16"/>
        </w:numPr>
        <w:rPr/>
      </w:pPr>
      <w:r>
        <w:rPr/>
        <w:t xml:space="preserve">What factors led to the significant new deals P&amp;L in May for both East and West?  Is this due to significant volatility during the month?  What portion of this P&amp;L is related to the exercise of options?  </w:t>
      </w:r>
    </w:p>
    <w:p>
      <w:pPr>
        <w:pStyle w:val="Normal"/>
        <w:rPr/>
      </w:pPr>
      <w:r>
        <w:rPr/>
      </w:r>
    </w:p>
    <w:p>
      <w:pPr>
        <w:pStyle w:val="Normal"/>
        <w:numPr>
          <w:ilvl w:val="0"/>
          <w:numId w:val="16"/>
        </w:numPr>
        <w:rPr/>
      </w:pPr>
      <w:r>
        <w:rPr/>
        <w:t xml:space="preserve">Let’s discuss the Renewable Energy positions in the Western portfolio.  Are these renewable energy positions only related to the Green Mountain deal?  Is renewable energy traded or obtained to comply with ISO or governmental requirements?  How is it valued?  In how many regions is it traded?  Does it have its own curve?  </w:t>
      </w:r>
    </w:p>
    <w:p>
      <w:pPr>
        <w:pStyle w:val="Normal"/>
        <w:rPr/>
      </w:pPr>
      <w:r>
        <w:rPr/>
      </w:r>
    </w:p>
    <w:p>
      <w:pPr>
        <w:pStyle w:val="Normal"/>
        <w:numPr>
          <w:ilvl w:val="0"/>
          <w:numId w:val="16"/>
        </w:numPr>
        <w:rPr/>
      </w:pPr>
      <w:r>
        <w:rPr/>
        <w:t>We had recently obtained an understanding that the transmission deals are not marked to market. However, the transmission column on the West DPR has change in price P&amp;L.  Let’s discuss in detail all of the types of transmission contracts and which contracts are marked.  Let’s also discuss which curves are utilized to value transmission contracts and how these curves are created/ updated.</w:t>
      </w:r>
    </w:p>
    <w:p>
      <w:pPr>
        <w:pStyle w:val="Normal"/>
        <w:rPr/>
      </w:pPr>
      <w:r>
        <w:rPr/>
      </w:r>
    </w:p>
    <w:p>
      <w:pPr>
        <w:pStyle w:val="Normal"/>
        <w:numPr>
          <w:ilvl w:val="0"/>
          <w:numId w:val="16"/>
        </w:numPr>
        <w:rPr/>
      </w:pPr>
      <w:r>
        <w:rPr/>
        <w:t>In the next day or two, we will provide you with a request list detailing the individual curve shift reports that we would like to obtain.</w:t>
      </w:r>
    </w:p>
    <w:p>
      <w:pPr>
        <w:pStyle w:val="Normal"/>
        <w:rPr/>
      </w:pPr>
      <w:r>
        <w:rPr/>
      </w:r>
    </w:p>
    <w:p>
      <w:pPr>
        <w:pStyle w:val="Normal"/>
        <w:numPr>
          <w:ilvl w:val="0"/>
          <w:numId w:val="16"/>
        </w:numPr>
        <w:rPr/>
      </w:pPr>
      <w:r>
        <w:rPr/>
        <w:t xml:space="preserve">What factors resulted in the theta P&amp;L of $(19.4) million and the gamma P&amp;L of $14.3 million in the West portfolio?  Did the purchased options expire worthless? Please explain whether Enron was a net purchaser or seller of options in the West portfolio as of April 30 and May 31, 2001 (i.e., what is the net delta position at the end of April and May)? </w:t>
      </w:r>
    </w:p>
    <w:p>
      <w:pPr>
        <w:pStyle w:val="Normal"/>
        <w:rPr/>
      </w:pPr>
      <w:r>
        <w:rPr/>
      </w:r>
    </w:p>
    <w:p>
      <w:pPr>
        <w:pStyle w:val="Normal"/>
        <w:numPr>
          <w:ilvl w:val="0"/>
          <w:numId w:val="16"/>
        </w:numPr>
        <w:rPr/>
      </w:pPr>
      <w:r>
        <w:rPr/>
        <w:t>Please provide an explanation for the change in basis price P&amp;L of $6.2 million for the East Management region. What curves relate to this change?  Why is there an increase in change in basis price relative to prior months?</w:t>
      </w:r>
    </w:p>
    <w:p>
      <w:pPr>
        <w:pStyle w:val="Normal"/>
        <w:rPr/>
      </w:pPr>
      <w:r>
        <w:rPr/>
      </w:r>
    </w:p>
    <w:p>
      <w:pPr>
        <w:pStyle w:val="Normal"/>
        <w:numPr>
          <w:ilvl w:val="0"/>
          <w:numId w:val="16"/>
        </w:numPr>
        <w:rPr/>
      </w:pPr>
      <w:r>
        <w:rPr>
          <w:color w:val="000000"/>
        </w:rPr>
        <w:t>Please provide a summary of the options premiums paid/received during May.</w:t>
      </w:r>
    </w:p>
    <w:p>
      <w:pPr>
        <w:pStyle w:val="Normal"/>
        <w:rPr/>
      </w:pPr>
      <w:r>
        <w:rPr/>
      </w:r>
    </w:p>
    <w:p>
      <w:pPr>
        <w:pStyle w:val="Normal"/>
        <w:numPr>
          <w:ilvl w:val="0"/>
          <w:numId w:val="16"/>
        </w:numPr>
        <w:rPr/>
      </w:pPr>
      <w:r>
        <w:rPr>
          <w:color w:val="000000"/>
        </w:rPr>
        <w:t>What are the new services deals in the West (i.e., what type of services are these contracts, with which counterparties, etc.)?  Is Tom May responsible for the West services deals or are they done out of Portland? Let’s discuss.</w:t>
      </w:r>
    </w:p>
    <w:p>
      <w:pPr>
        <w:pStyle w:val="Normal"/>
        <w:rPr/>
      </w:pPr>
      <w:r>
        <w:rPr/>
      </w:r>
    </w:p>
    <w:p>
      <w:pPr>
        <w:pStyle w:val="Heading4"/>
        <w:ind w:hanging="0" w:start="0"/>
        <w:rPr/>
      </w:pPr>
      <w:r>
        <w:rPr/>
        <w:t>April Power Questions</w:t>
      </w:r>
    </w:p>
    <w:p>
      <w:pPr>
        <w:pStyle w:val="Normal"/>
        <w:rPr>
          <w:b/>
        </w:rPr>
      </w:pPr>
      <w:r>
        <w:rPr>
          <w:b/>
        </w:rPr>
      </w:r>
    </w:p>
    <w:p>
      <w:pPr>
        <w:pStyle w:val="Normal"/>
        <w:numPr>
          <w:ilvl w:val="0"/>
          <w:numId w:val="20"/>
        </w:numPr>
        <w:rPr>
          <w:color w:val="000000"/>
        </w:rPr>
      </w:pPr>
      <w:r>
        <w:rPr>
          <w:color w:val="000000"/>
        </w:rPr>
        <w:t>Does Schedule C still reflect the $11.4 million related to the BPA Federal Surplus Clause?  Is BPA delivering power under the contract?</w:t>
      </w:r>
    </w:p>
    <w:p>
      <w:pPr>
        <w:pStyle w:val="Normal"/>
        <w:ind w:firstLine="1140" w:end="0"/>
        <w:rPr>
          <w:color w:val="000000"/>
        </w:rPr>
      </w:pPr>
      <w:r>
        <w:rPr>
          <w:color w:val="000000"/>
        </w:rPr>
      </w:r>
    </w:p>
    <w:p>
      <w:pPr>
        <w:pStyle w:val="Normal"/>
        <w:numPr>
          <w:ilvl w:val="0"/>
          <w:numId w:val="20"/>
        </w:numPr>
        <w:rPr>
          <w:color w:val="000000"/>
        </w:rPr>
      </w:pPr>
      <w:r>
        <w:rPr>
          <w:color w:val="000000"/>
        </w:rPr>
        <w:t>What market factors contributed to the change in price P&amp;L of $83.2 million and $35.9 million in the Northwest long-term region and Southwest long-term region, respectively?  We noted the change in price P&amp;L was made substantially in the last day. Please identify any significant events that occurred on the last day of the month.</w:t>
      </w:r>
    </w:p>
    <w:p>
      <w:pPr>
        <w:pStyle w:val="Normal"/>
        <w:rPr>
          <w:color w:val="000000"/>
        </w:rPr>
      </w:pPr>
      <w:r>
        <w:rPr>
          <w:color w:val="000000"/>
        </w:rPr>
      </w:r>
    </w:p>
    <w:p>
      <w:pPr>
        <w:pStyle w:val="Normal"/>
        <w:numPr>
          <w:ilvl w:val="0"/>
          <w:numId w:val="20"/>
        </w:numPr>
        <w:rPr>
          <w:color w:val="000000"/>
        </w:rPr>
      </w:pPr>
      <w:r>
        <w:rPr>
          <w:color w:val="000000"/>
        </w:rPr>
        <w:t>As we discussed the $(78) million and $(7.7) million of adjustments in the Northwest long-term region and the Southwest long-term region relate to the killing of two deals subsequent to PG&amp;E’s utility company filing bankruptcy. Please provide support for these adjustments.</w:t>
      </w:r>
    </w:p>
    <w:p>
      <w:pPr>
        <w:pStyle w:val="Normal"/>
        <w:rPr>
          <w:color w:val="000000"/>
        </w:rPr>
      </w:pPr>
      <w:r>
        <w:rPr>
          <w:color w:val="000000"/>
        </w:rPr>
      </w:r>
    </w:p>
    <w:p>
      <w:pPr>
        <w:pStyle w:val="Normal"/>
        <w:rPr>
          <w:color w:val="000000"/>
        </w:rPr>
      </w:pPr>
      <w:r>
        <w:rPr>
          <w:color w:val="000000"/>
        </w:rPr>
        <w:t>4.  Please provide a summary of the options premiums paid/received during April.</w:t>
      </w:r>
    </w:p>
    <w:p>
      <w:pPr>
        <w:pStyle w:val="Normal"/>
        <w:rPr>
          <w:color w:val="000000"/>
        </w:rPr>
      </w:pPr>
      <w:r>
        <w:rPr>
          <w:color w:val="000000"/>
        </w:rPr>
      </w:r>
    </w:p>
    <w:p>
      <w:pPr>
        <w:pStyle w:val="Normal"/>
        <w:rPr>
          <w:color w:val="000000"/>
        </w:rPr>
      </w:pPr>
      <w:r>
        <w:rPr>
          <w:color w:val="000000"/>
        </w:rPr>
        <w:t>5. Please provide the curve shift reports for the following days and region:</w:t>
      </w:r>
    </w:p>
    <w:p>
      <w:pPr>
        <w:pStyle w:val="Normal"/>
        <w:rPr>
          <w:color w:val="000000"/>
        </w:rPr>
      </w:pPr>
      <w:r>
        <w:rPr>
          <w:color w:val="000000"/>
        </w:rPr>
      </w:r>
    </w:p>
    <w:tbl>
      <w:tblPr>
        <w:tblW w:w="6384" w:type="dxa"/>
        <w:jc w:val="start"/>
        <w:tblInd w:w="0" w:type="dxa"/>
        <w:tblLayout w:type="fixed"/>
        <w:tblCellMar>
          <w:top w:w="0" w:type="dxa"/>
          <w:start w:w="108" w:type="dxa"/>
          <w:bottom w:w="0" w:type="dxa"/>
          <w:end w:w="108" w:type="dxa"/>
        </w:tblCellMar>
      </w:tblPr>
      <w:tblGrid>
        <w:gridCol w:w="3192"/>
        <w:gridCol w:w="3192"/>
      </w:tblGrid>
      <w:tr>
        <w:trPr/>
        <w:tc>
          <w:tcPr>
            <w:tcW w:w="3192"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April 5, 2001</w:t>
            </w:r>
          </w:p>
        </w:tc>
        <w:tc>
          <w:tcPr>
            <w:tcW w:w="3192"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Long-term Ecar</w:t>
            </w:r>
          </w:p>
        </w:tc>
      </w:tr>
      <w:tr>
        <w:trPr/>
        <w:tc>
          <w:tcPr>
            <w:tcW w:w="3192"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April 6, 2001</w:t>
            </w:r>
          </w:p>
        </w:tc>
        <w:tc>
          <w:tcPr>
            <w:tcW w:w="3192"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Long-term Ecar</w:t>
            </w:r>
          </w:p>
        </w:tc>
      </w:tr>
      <w:tr>
        <w:trPr/>
        <w:tc>
          <w:tcPr>
            <w:tcW w:w="3192"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April 10, 2001</w:t>
            </w:r>
          </w:p>
        </w:tc>
        <w:tc>
          <w:tcPr>
            <w:tcW w:w="3192"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Long-term Ecar</w:t>
            </w:r>
          </w:p>
        </w:tc>
      </w:tr>
      <w:tr>
        <w:trPr/>
        <w:tc>
          <w:tcPr>
            <w:tcW w:w="3192"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April 16, 2001</w:t>
            </w:r>
          </w:p>
        </w:tc>
        <w:tc>
          <w:tcPr>
            <w:tcW w:w="3192"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Long-term Ecar</w:t>
            </w:r>
          </w:p>
        </w:tc>
      </w:tr>
      <w:tr>
        <w:trPr/>
        <w:tc>
          <w:tcPr>
            <w:tcW w:w="3192"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April 16, 2001</w:t>
            </w:r>
          </w:p>
        </w:tc>
        <w:tc>
          <w:tcPr>
            <w:tcW w:w="3192"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Long-term Ercot</w:t>
            </w:r>
          </w:p>
        </w:tc>
      </w:tr>
      <w:tr>
        <w:trPr/>
        <w:tc>
          <w:tcPr>
            <w:tcW w:w="3192"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April 19, 2001</w:t>
            </w:r>
          </w:p>
        </w:tc>
        <w:tc>
          <w:tcPr>
            <w:tcW w:w="3192"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Long-term Ecar</w:t>
            </w:r>
          </w:p>
        </w:tc>
      </w:tr>
      <w:tr>
        <w:trPr/>
        <w:tc>
          <w:tcPr>
            <w:tcW w:w="3192"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April 23, 2001</w:t>
            </w:r>
          </w:p>
        </w:tc>
        <w:tc>
          <w:tcPr>
            <w:tcW w:w="3192"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Long-term Ercot</w:t>
            </w:r>
          </w:p>
        </w:tc>
      </w:tr>
      <w:tr>
        <w:trPr/>
        <w:tc>
          <w:tcPr>
            <w:tcW w:w="3192"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April 25, 2001</w:t>
            </w:r>
          </w:p>
        </w:tc>
        <w:tc>
          <w:tcPr>
            <w:tcW w:w="3192"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Long-term West Management</w:t>
            </w:r>
          </w:p>
        </w:tc>
      </w:tr>
      <w:tr>
        <w:trPr/>
        <w:tc>
          <w:tcPr>
            <w:tcW w:w="3192"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April 30, 2001</w:t>
            </w:r>
          </w:p>
        </w:tc>
        <w:tc>
          <w:tcPr>
            <w:tcW w:w="3192"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Long-term Northwest Power</w:t>
            </w:r>
          </w:p>
        </w:tc>
      </w:tr>
      <w:tr>
        <w:trPr/>
        <w:tc>
          <w:tcPr>
            <w:tcW w:w="3192"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April 30, 2001</w:t>
            </w:r>
          </w:p>
        </w:tc>
        <w:tc>
          <w:tcPr>
            <w:tcW w:w="3192"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Long-term Southwest Power</w:t>
            </w:r>
          </w:p>
        </w:tc>
      </w:tr>
    </w:tbl>
    <w:p>
      <w:pPr>
        <w:pStyle w:val="Normal"/>
        <w:rPr>
          <w:color w:val="000000"/>
        </w:rPr>
      </w:pPr>
      <w:r>
        <w:rPr>
          <w:color w:val="000000"/>
        </w:rPr>
      </w:r>
    </w:p>
    <w:p>
      <w:pPr>
        <w:pStyle w:val="Normal"/>
        <w:numPr>
          <w:ilvl w:val="0"/>
          <w:numId w:val="21"/>
        </w:numPr>
        <w:rPr>
          <w:color w:val="000000"/>
        </w:rPr>
      </w:pPr>
      <w:r>
        <w:rPr>
          <w:color w:val="000000"/>
        </w:rPr>
        <w:t>Please provide new deals reports for the last day of the month for the following:</w:t>
      </w:r>
    </w:p>
    <w:p>
      <w:pPr>
        <w:pStyle w:val="Normal"/>
        <w:rPr>
          <w:color w:val="000000"/>
        </w:rPr>
      </w:pPr>
      <w:r>
        <w:rPr>
          <w:color w:val="000000"/>
        </w:rPr>
      </w:r>
    </w:p>
    <w:p>
      <w:pPr>
        <w:pStyle w:val="Normal"/>
        <w:numPr>
          <w:ilvl w:val="0"/>
          <w:numId w:val="12"/>
        </w:numPr>
        <w:spacing w:lineRule="atLeast" w:line="240"/>
        <w:ind w:hanging="283" w:start="2265" w:end="0"/>
        <w:rPr>
          <w:color w:val="000000"/>
          <w:lang w:eastAsia="en-US"/>
        </w:rPr>
      </w:pPr>
      <w:r>
        <w:rPr>
          <w:color w:val="000000"/>
          <w:lang w:eastAsia="en-US"/>
        </w:rPr>
        <w:t>Palo Verde (R7)</w:t>
      </w:r>
    </w:p>
    <w:p>
      <w:pPr>
        <w:pStyle w:val="Normal"/>
        <w:numPr>
          <w:ilvl w:val="0"/>
          <w:numId w:val="12"/>
        </w:numPr>
        <w:spacing w:lineRule="atLeast" w:line="240"/>
        <w:ind w:hanging="283" w:start="2265" w:end="0"/>
        <w:rPr>
          <w:color w:val="000000"/>
          <w:lang w:eastAsia="en-US"/>
        </w:rPr>
      </w:pPr>
      <w:r>
        <w:rPr>
          <w:color w:val="000000"/>
          <w:lang w:eastAsia="en-US"/>
        </w:rPr>
        <w:t>MAPP (R4A)</w:t>
      </w:r>
    </w:p>
    <w:p>
      <w:pPr>
        <w:pStyle w:val="Normal"/>
        <w:numPr>
          <w:ilvl w:val="0"/>
          <w:numId w:val="12"/>
        </w:numPr>
        <w:spacing w:lineRule="atLeast" w:line="240"/>
        <w:ind w:hanging="283" w:start="2265" w:end="0"/>
        <w:rPr>
          <w:color w:val="000000"/>
          <w:lang w:eastAsia="en-US"/>
        </w:rPr>
      </w:pPr>
      <w:r>
        <w:rPr>
          <w:color w:val="000000"/>
          <w:lang w:eastAsia="en-US"/>
        </w:rPr>
        <w:t>NePool ICAP (R1B Capacity Positions)</w:t>
      </w:r>
    </w:p>
    <w:p>
      <w:pPr>
        <w:pStyle w:val="Normal"/>
        <w:numPr>
          <w:ilvl w:val="0"/>
          <w:numId w:val="12"/>
        </w:numPr>
        <w:spacing w:lineRule="atLeast" w:line="240"/>
        <w:ind w:hanging="283" w:start="2265" w:end="0"/>
        <w:rPr>
          <w:color w:val="000000"/>
          <w:lang w:eastAsia="en-US"/>
        </w:rPr>
      </w:pPr>
      <w:r>
        <w:rPr>
          <w:color w:val="000000"/>
          <w:lang w:eastAsia="en-US"/>
        </w:rPr>
        <w:t>NePool (R1B)</w:t>
      </w:r>
    </w:p>
    <w:p>
      <w:pPr>
        <w:pStyle w:val="Normal"/>
        <w:numPr>
          <w:ilvl w:val="0"/>
          <w:numId w:val="12"/>
        </w:numPr>
        <w:spacing w:lineRule="atLeast" w:line="240"/>
        <w:ind w:hanging="283" w:start="2265" w:end="0"/>
        <w:rPr>
          <w:color w:val="000000"/>
          <w:lang w:eastAsia="en-US"/>
        </w:rPr>
      </w:pPr>
      <w:r>
        <w:rPr>
          <w:color w:val="000000"/>
          <w:lang w:eastAsia="en-US"/>
        </w:rPr>
        <w:t>Entergy (R5)</w:t>
      </w:r>
    </w:p>
    <w:p>
      <w:pPr>
        <w:pStyle w:val="Normal"/>
        <w:numPr>
          <w:ilvl w:val="0"/>
          <w:numId w:val="12"/>
        </w:numPr>
        <w:spacing w:lineRule="atLeast" w:line="240"/>
        <w:ind w:hanging="283" w:start="2265" w:end="0"/>
        <w:rPr>
          <w:color w:val="000000"/>
          <w:lang w:eastAsia="en-US"/>
        </w:rPr>
      </w:pPr>
      <w:r>
        <w:rPr>
          <w:color w:val="000000"/>
          <w:lang w:eastAsia="en-US"/>
        </w:rPr>
        <w:t>COB (R8)</w:t>
      </w:r>
    </w:p>
    <w:p>
      <w:pPr>
        <w:pStyle w:val="Normal"/>
        <w:numPr>
          <w:ilvl w:val="0"/>
          <w:numId w:val="15"/>
        </w:numPr>
        <w:tabs>
          <w:tab w:val="left" w:pos="1134" w:leader="none"/>
          <w:tab w:val="left" w:pos="2160" w:leader="none"/>
        </w:tabs>
        <w:ind w:hanging="283" w:start="2265" w:end="0"/>
        <w:rPr/>
      </w:pPr>
      <w:r>
        <w:rPr>
          <w:color w:val="000000"/>
          <w:lang w:eastAsia="en-US"/>
        </w:rPr>
        <w:t>Mid Columbia (R9)</w:t>
      </w:r>
    </w:p>
    <w:p>
      <w:pPr>
        <w:pStyle w:val="Normal"/>
        <w:rPr>
          <w:i/>
          <w:i/>
        </w:rPr>
      </w:pPr>
      <w:r>
        <w:rPr>
          <w:i/>
        </w:rPr>
      </w:r>
    </w:p>
    <w:p>
      <w:pPr>
        <w:pStyle w:val="Normal"/>
        <w:rPr>
          <w:i/>
          <w:i/>
        </w:rPr>
      </w:pPr>
      <w:r>
        <w:rPr>
          <w:i/>
        </w:rPr>
      </w:r>
    </w:p>
    <w:sectPr>
      <w:headerReference w:type="default" r:id="rId2"/>
      <w:headerReference w:type="first" r:id="rId3"/>
      <w:footerReference w:type="default" r:id="rId4"/>
      <w:footerReference w:type="first" r:id="rId5"/>
      <w:type w:val="nextPage"/>
      <w:pgSz w:w="12240" w:h="15840"/>
      <w:pgMar w:left="1440" w:right="1440" w:gutter="0" w:header="1191" w:top="1247" w:footer="1383" w:bottom="1701"/>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lang w:val="nl-NL"/>
      </w:rPr>
    </w:pPr>
    <w:bookmarkStart w:id="1" w:name="Logo2nd"/>
    <w:bookmarkEnd w:id="1"/>
    <w:r>
      <w:rPr>
        <w:lang w:val="nl-NL"/>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lang w:val="nl-NL"/>
      </w:rPr>
    </w:pPr>
    <w:r>
      <w:rPr>
        <w:lang w:val="nl-NL"/>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nl-NL"/>
      </w:rPr>
    </w:pPr>
    <w:bookmarkStart w:id="0" w:name="Logo1st"/>
    <w:bookmarkEnd w:id="0"/>
    <w:r>
      <w:rPr>
        <w:lang w:val="nl-NL"/>
      </w:rPr>
      <w:t xml:space="preserve">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492"/>
        </w:tabs>
        <w:ind w:start="1492" w:hanging="360"/>
      </w:pPr>
    </w:lvl>
  </w:abstractNum>
  <w:abstractNum w:abstractNumId="3">
    <w:lvl w:ilvl="0">
      <w:start w:val="1"/>
      <w:numFmt w:val="decimal"/>
      <w:lvlText w:val="%1."/>
      <w:lvlJc w:val="start"/>
      <w:pPr>
        <w:tabs>
          <w:tab w:val="num" w:pos="1209"/>
        </w:tabs>
        <w:ind w:start="1209" w:hanging="360"/>
      </w:pPr>
    </w:lvl>
  </w:abstractNum>
  <w:abstractNum w:abstractNumId="4">
    <w:lvl w:ilvl="0">
      <w:start w:val="1"/>
      <w:numFmt w:val="decimal"/>
      <w:lvlText w:val="%1."/>
      <w:lvlJc w:val="start"/>
      <w:pPr>
        <w:tabs>
          <w:tab w:val="num" w:pos="926"/>
        </w:tabs>
        <w:ind w:start="926" w:hanging="360"/>
      </w:pPr>
    </w:lvl>
  </w:abstractNum>
  <w:abstractNum w:abstractNumId="5">
    <w:lvl w:ilvl="0">
      <w:start w:val="1"/>
      <w:numFmt w:val="decimal"/>
      <w:lvlText w:val="%1."/>
      <w:lvlJc w:val="start"/>
      <w:pPr>
        <w:tabs>
          <w:tab w:val="num" w:pos="643"/>
        </w:tabs>
        <w:ind w:start="643" w:hanging="360"/>
      </w:pPr>
    </w:lvl>
  </w:abstractNum>
  <w:abstractNum w:abstractNumId="6">
    <w:lvl w:ilvl="0">
      <w:start w:val="1"/>
      <w:numFmt w:val="bullet"/>
      <w:lvlText w:val=""/>
      <w:lvlJc w:val="start"/>
      <w:pPr>
        <w:tabs>
          <w:tab w:val="num" w:pos="1492"/>
        </w:tabs>
        <w:ind w:start="1492" w:hanging="360"/>
      </w:pPr>
      <w:rPr>
        <w:rFonts w:ascii="Symbol" w:hAnsi="Symbol" w:cs="Symbol" w:hint="default"/>
      </w:rPr>
    </w:lvl>
  </w:abstractNum>
  <w:abstractNum w:abstractNumId="7">
    <w:lvl w:ilvl="0">
      <w:start w:val="1"/>
      <w:numFmt w:val="bullet"/>
      <w:lvlText w:val=""/>
      <w:lvlJc w:val="start"/>
      <w:pPr>
        <w:tabs>
          <w:tab w:val="num" w:pos="1209"/>
        </w:tabs>
        <w:ind w:start="1209" w:hanging="360"/>
      </w:pPr>
      <w:rPr>
        <w:rFonts w:ascii="Symbol" w:hAnsi="Symbol" w:cs="Symbol" w:hint="default"/>
      </w:rPr>
    </w:lvl>
  </w:abstractNum>
  <w:abstractNum w:abstractNumId="8">
    <w:lvl w:ilvl="0">
      <w:start w:val="1"/>
      <w:numFmt w:val="bullet"/>
      <w:lvlText w:val=""/>
      <w:lvlJc w:val="start"/>
      <w:pPr>
        <w:tabs>
          <w:tab w:val="num" w:pos="926"/>
        </w:tabs>
        <w:ind w:start="926" w:hanging="360"/>
      </w:pPr>
      <w:rPr>
        <w:rFonts w:ascii="Symbol" w:hAnsi="Symbol" w:cs="Symbol" w:hint="default"/>
      </w:rPr>
    </w:lvl>
  </w:abstractNum>
  <w:abstractNum w:abstractNumId="9">
    <w:lvl w:ilvl="0">
      <w:start w:val="1"/>
      <w:numFmt w:val="bullet"/>
      <w:lvlText w:val=""/>
      <w:lvlJc w:val="start"/>
      <w:pPr>
        <w:tabs>
          <w:tab w:val="num" w:pos="643"/>
        </w:tabs>
        <w:ind w:start="643"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bullet"/>
      <w:lvlText w:val=""/>
      <w:lvlJc w:val="start"/>
      <w:pPr>
        <w:tabs>
          <w:tab w:val="num" w:pos="283"/>
        </w:tabs>
        <w:ind w:start="283" w:hanging="283"/>
      </w:pPr>
      <w:rPr>
        <w:rFonts w:ascii="Symbol" w:hAnsi="Symbol" w:cs="Symbol" w:hint="default"/>
      </w:rPr>
    </w:lvl>
  </w:abstractNum>
  <w:abstractNum w:abstractNumId="13">
    <w:lvl w:ilvl="0">
      <w:start w:val="1"/>
      <w:numFmt w:val="decimal"/>
      <w:lvlText w:val="%1."/>
      <w:lvlJc w:val="start"/>
      <w:pPr>
        <w:tabs>
          <w:tab w:val="num" w:pos="283"/>
        </w:tabs>
        <w:ind w:start="283" w:hanging="283"/>
      </w:pPr>
    </w:lvl>
  </w:abstractNum>
  <w:abstractNum w:abstractNumId="14">
    <w:lvl w:ilvl="0">
      <w:start w:val="1"/>
      <w:numFmt w:val="bullet"/>
      <w:lvlText w:val=""/>
      <w:lvlJc w:val="start"/>
      <w:pPr>
        <w:tabs>
          <w:tab w:val="num" w:pos="283"/>
        </w:tabs>
        <w:ind w:start="283" w:hanging="283"/>
      </w:pPr>
      <w:rPr>
        <w:rFonts w:ascii="Symbol" w:hAnsi="Symbol" w:cs="Symbol" w:hint="default"/>
      </w:rPr>
    </w:lvl>
  </w:abstractNum>
  <w:abstractNum w:abstractNumId="15">
    <w:lvl w:ilvl="0">
      <w:start w:val="1"/>
      <w:numFmt w:val="bullet"/>
      <w:lvlText w:val=""/>
      <w:lvlJc w:val="start"/>
      <w:pPr>
        <w:tabs>
          <w:tab w:val="num" w:pos="283"/>
        </w:tabs>
        <w:ind w:start="283" w:hanging="283"/>
      </w:pPr>
      <w:rPr>
        <w:rFonts w:ascii="Symbol" w:hAnsi="Symbol" w:cs="Symbol" w:hint="default"/>
      </w:rPr>
    </w:lvl>
  </w:abstractNum>
  <w:abstractNum w:abstractNumId="16">
    <w:lvl w:ilvl="0">
      <w:start w:val="1"/>
      <w:numFmt w:val="decimal"/>
      <w:lvlText w:val="%1."/>
      <w:lvlJc w:val="start"/>
      <w:pPr>
        <w:tabs>
          <w:tab w:val="num" w:pos="360"/>
        </w:tabs>
        <w:ind w:start="360" w:hanging="360"/>
      </w:pPr>
      <w:rPr/>
    </w:lvl>
  </w:abstractNum>
  <w:abstractNum w:abstractNumId="17">
    <w:lvl w:ilvl="0">
      <w:start w:val="1"/>
      <w:numFmt w:val="bullet"/>
      <w:lvlText w:val=""/>
      <w:lvlJc w:val="start"/>
      <w:pPr>
        <w:tabs>
          <w:tab w:val="num" w:pos="283"/>
        </w:tabs>
        <w:ind w:start="283" w:hanging="283"/>
      </w:pPr>
      <w:rPr>
        <w:rFonts w:ascii="Symbol" w:hAnsi="Symbol" w:cs="Symbol" w:hint="default"/>
      </w:rPr>
    </w:lvl>
  </w:abstractNum>
  <w:abstractNum w:abstractNumId="18">
    <w:lvl w:ilvl="0">
      <w:start w:val="1"/>
      <w:numFmt w:val="bullet"/>
      <w:lvlText w:val=""/>
      <w:lvlJc w:val="start"/>
      <w:pPr>
        <w:tabs>
          <w:tab w:val="num" w:pos="283"/>
        </w:tabs>
        <w:ind w:start="283" w:hanging="283"/>
      </w:pPr>
      <w:rPr>
        <w:rFonts w:ascii="Symbol" w:hAnsi="Symbol" w:cs="Symbol" w:hint="default"/>
      </w:rPr>
    </w:lvl>
  </w:abstractNum>
  <w:abstractNum w:abstractNumId="19">
    <w:lvl w:ilvl="0">
      <w:start w:val="1"/>
      <w:numFmt w:val="bullet"/>
      <w:lvlText w:val=""/>
      <w:lvlJc w:val="start"/>
      <w:pPr>
        <w:tabs>
          <w:tab w:val="num" w:pos="283"/>
        </w:tabs>
        <w:ind w:start="283" w:hanging="283"/>
      </w:pPr>
      <w:rPr>
        <w:rFonts w:ascii="Symbol" w:hAnsi="Symbol" w:cs="Symbol" w:hint="default"/>
      </w:rPr>
    </w:lvl>
  </w:abstractNum>
  <w:abstractNum w:abstractNumId="20">
    <w:lvl w:ilvl="0">
      <w:start w:val="1"/>
      <w:numFmt w:val="decimal"/>
      <w:lvlText w:val="%1."/>
      <w:lvlJc w:val="start"/>
      <w:pPr>
        <w:tabs>
          <w:tab w:val="num" w:pos="360"/>
        </w:tabs>
        <w:ind w:start="360" w:hanging="360"/>
      </w:pPr>
      <w:rPr>
        <w:color w:val="auto"/>
      </w:rPr>
    </w:lvl>
  </w:abstractNum>
  <w:abstractNum w:abstractNumId="21">
    <w:lvl w:ilvl="0">
      <w:start w:val="6"/>
      <w:numFmt w:val="decimal"/>
      <w:lvlText w:val="%1."/>
      <w:lvlJc w:val="start"/>
      <w:pPr>
        <w:tabs>
          <w:tab w:val="num" w:pos="360"/>
        </w:tabs>
        <w:ind w:start="36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w="http://schemas.openxmlformats.org/wordprocessingml/2006/main">
  <w:zoom w:percent="100"/>
  <w:defaultTabStop w:val="708"/>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08"/>
        <w:tab w:val="left" w:pos="1134" w:leader="none"/>
      </w:tabs>
      <w:bidi w:val="0"/>
      <w:spacing w:lineRule="atLeast" w:line="280"/>
    </w:pPr>
    <w:rPr>
      <w:rFonts w:ascii="Times New Roman" w:hAnsi="Times New Roman" w:eastAsia="Times New Roman" w:cs="Times New Roman"/>
      <w:color w:val="auto"/>
      <w:sz w:val="22"/>
      <w:szCs w:val="20"/>
      <w:lang w:val="en-US" w:eastAsia="zh-CN" w:bidi="hi-IN"/>
    </w:rPr>
  </w:style>
  <w:style w:type="paragraph" w:styleId="Heading1">
    <w:name w:val="heading 1"/>
    <w:basedOn w:val="Normal"/>
    <w:next w:val="Normal"/>
    <w:qFormat/>
    <w:pPr>
      <w:keepNext w:val="true"/>
      <w:numPr>
        <w:ilvl w:val="0"/>
        <w:numId w:val="1"/>
      </w:numPr>
      <w:shd w:fill="FFFFFF" w:val="clear"/>
      <w:spacing w:lineRule="atLeast" w:line="300"/>
      <w:outlineLvl w:val="0"/>
    </w:pPr>
    <w:rPr>
      <w:rFonts w:ascii="Arial" w:hAnsi="Arial" w:cs="Arial"/>
      <w:b/>
      <w:sz w:val="24"/>
    </w:rPr>
  </w:style>
  <w:style w:type="paragraph" w:styleId="Heading2">
    <w:name w:val="heading 2"/>
    <w:basedOn w:val="Normal"/>
    <w:next w:val="Normal"/>
    <w:qFormat/>
    <w:pPr>
      <w:keepNext w:val="true"/>
      <w:numPr>
        <w:ilvl w:val="1"/>
        <w:numId w:val="1"/>
      </w:numPr>
      <w:spacing w:lineRule="atLeast" w:line="240" w:before="240" w:after="0"/>
      <w:outlineLvl w:val="1"/>
    </w:pPr>
    <w:rPr>
      <w:rFonts w:ascii="Arial" w:hAnsi="Arial" w:cs="Arial"/>
      <w:b/>
      <w:sz w:val="18"/>
    </w:rPr>
  </w:style>
  <w:style w:type="paragraph" w:styleId="Heading3">
    <w:name w:val="heading 3"/>
    <w:basedOn w:val="Normal"/>
    <w:next w:val="Normal"/>
    <w:qFormat/>
    <w:pPr>
      <w:keepNext w:val="true"/>
      <w:numPr>
        <w:ilvl w:val="2"/>
        <w:numId w:val="1"/>
      </w:numPr>
      <w:spacing w:lineRule="atLeast" w:line="240" w:before="240" w:after="60"/>
      <w:outlineLvl w:val="2"/>
    </w:pPr>
    <w:rPr>
      <w:rFonts w:ascii="Arial" w:hAnsi="Arial" w:cs="Arial"/>
      <w:sz w:val="18"/>
    </w:rPr>
  </w:style>
  <w:style w:type="paragraph" w:styleId="Heading4">
    <w:name w:val="heading 4"/>
    <w:basedOn w:val="Normal"/>
    <w:next w:val="Normal"/>
    <w:qFormat/>
    <w:pPr>
      <w:keepNext w:val="true"/>
      <w:numPr>
        <w:ilvl w:val="3"/>
        <w:numId w:val="1"/>
      </w:numPr>
      <w:outlineLvl w:val="3"/>
    </w:pPr>
    <w:rPr>
      <w:b/>
    </w:rPr>
  </w:style>
  <w:style w:type="paragraph" w:styleId="Heading5">
    <w:name w:val="heading 5"/>
    <w:basedOn w:val="Normal"/>
    <w:next w:val="Normal"/>
    <w:qFormat/>
    <w:pPr>
      <w:keepNext w:val="true"/>
      <w:numPr>
        <w:ilvl w:val="4"/>
        <w:numId w:val="1"/>
      </w:numPr>
      <w:outlineLvl w:val="4"/>
    </w:pPr>
    <w:rPr>
      <w:i/>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2z0">
    <w:name w:val="WW8Num12z0"/>
    <w:qFormat/>
    <w:rPr>
      <w:rFonts w:ascii="Symbol" w:hAnsi="Symbol" w:cs="Symbol"/>
      <w:color w:val="auto"/>
    </w:rPr>
  </w:style>
  <w:style w:type="character" w:styleId="WW8Num13z0">
    <w:name w:val="WW8Num13z0"/>
    <w:qFormat/>
    <w:rPr>
      <w:rFonts w:ascii="Symbol" w:hAnsi="Symbol" w:cs="Symbol"/>
      <w:color w:val="auto"/>
    </w:rPr>
  </w:style>
  <w:style w:type="character" w:styleId="WW8Num14z0">
    <w:name w:val="WW8Num14z0"/>
    <w:qFormat/>
    <w:rPr>
      <w:rFonts w:ascii="Symbol" w:hAnsi="Symbol" w:cs="Symbol"/>
      <w:color w:val="auto"/>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style>
  <w:style w:type="character" w:styleId="WW8Num22z0">
    <w:name w:val="WW8Num22z0"/>
    <w:qFormat/>
    <w:rPr>
      <w:rFonts w:ascii="Wingdings" w:hAnsi="Wingdings" w:cs="Wingdings"/>
    </w:rPr>
  </w:style>
  <w:style w:type="character" w:styleId="WW8Num24z0">
    <w:name w:val="WW8Num24z0"/>
    <w:qFormat/>
    <w:rPr>
      <w:rFonts w:ascii="Symbol" w:hAnsi="Symbol" w:cs="Symbol"/>
      <w:color w:val="auto"/>
    </w:rPr>
  </w:style>
  <w:style w:type="character" w:styleId="WW8Num26z0">
    <w:name w:val="WW8Num26z0"/>
    <w:qFormat/>
    <w:rPr>
      <w:rFonts w:ascii="Symbol" w:hAnsi="Symbol" w:cs="Symbol"/>
      <w:color w:val="auto"/>
    </w:rPr>
  </w:style>
  <w:style w:type="character" w:styleId="WW8Num27z0">
    <w:name w:val="WW8Num27z0"/>
    <w:qFormat/>
    <w:rPr>
      <w:rFonts w:ascii="Symbol" w:hAnsi="Symbol" w:cs="Symbol"/>
      <w:color w:val="auto"/>
    </w:rPr>
  </w:style>
  <w:style w:type="character" w:styleId="WW8Num28z0">
    <w:name w:val="WW8Num28z0"/>
    <w:qFormat/>
    <w:rPr>
      <w:rFonts w:ascii="Symbol" w:hAnsi="Symbol" w:cs="Symbol"/>
      <w:color w:val="auto"/>
    </w:rPr>
  </w:style>
  <w:style w:type="character" w:styleId="WW8Num29z0">
    <w:name w:val="WW8Num29z0"/>
    <w:qFormat/>
    <w:rPr>
      <w:rFonts w:ascii="Symbol" w:hAnsi="Symbol" w:cs="Symbol"/>
      <w:color w:val="auto"/>
    </w:rPr>
  </w:style>
  <w:style w:type="character" w:styleId="WW8Num31z0">
    <w:name w:val="WW8Num31z0"/>
    <w:qFormat/>
    <w:rPr>
      <w:rFonts w:ascii="Symbol" w:hAnsi="Symbol" w:cs="Symbol"/>
    </w:rPr>
  </w:style>
  <w:style w:type="character" w:styleId="WW8Num33z0">
    <w:name w:val="WW8Num33z0"/>
    <w:qFormat/>
    <w:rPr>
      <w:rFonts w:ascii="Symbol" w:hAnsi="Symbol" w:cs="Symbol"/>
    </w:rPr>
  </w:style>
  <w:style w:type="character" w:styleId="WW8Num34z0">
    <w:name w:val="WW8Num34z0"/>
    <w:qFormat/>
    <w:rPr>
      <w:rFonts w:ascii="Symbol" w:hAnsi="Symbol" w:cs="Symbol"/>
    </w:rPr>
  </w:style>
  <w:style w:type="character" w:styleId="WW8Num35z0">
    <w:name w:val="WW8Num35z0"/>
    <w:qFormat/>
    <w:rPr>
      <w:rFonts w:ascii="Symbol" w:hAnsi="Symbol" w:cs="Symbol"/>
      <w:color w:val="auto"/>
    </w:rPr>
  </w:style>
  <w:style w:type="character" w:styleId="WW8Num36z0">
    <w:name w:val="WW8Num36z0"/>
    <w:qFormat/>
    <w:rPr/>
  </w:style>
  <w:style w:type="character" w:styleId="WW8Num37z0">
    <w:name w:val="WW8Num37z0"/>
    <w:qFormat/>
    <w:rPr>
      <w:rFonts w:ascii="Symbol" w:hAnsi="Symbol" w:cs="Symbol"/>
    </w:rPr>
  </w:style>
  <w:style w:type="character" w:styleId="WW8Num38z0">
    <w:name w:val="WW8Num38z0"/>
    <w:qFormat/>
    <w:rPr>
      <w:rFonts w:ascii="Symbol" w:hAnsi="Symbol" w:cs="Symbol"/>
    </w:rPr>
  </w:style>
  <w:style w:type="character" w:styleId="WW8Num39z0">
    <w:name w:val="WW8Num39z0"/>
    <w:qFormat/>
    <w:rPr>
      <w:rFonts w:ascii="Symbol" w:hAnsi="Symbol" w:cs="Symbol"/>
    </w:rPr>
  </w:style>
  <w:style w:type="character" w:styleId="WW8Num40z0">
    <w:name w:val="WW8Num40z0"/>
    <w:qFormat/>
    <w:rPr>
      <w:rFonts w:ascii="Symbol" w:hAnsi="Symbol" w:cs="Symbol"/>
      <w:sz w:val="16"/>
    </w:rPr>
  </w:style>
  <w:style w:type="character" w:styleId="WW8Num41z0">
    <w:name w:val="WW8Num41z0"/>
    <w:qFormat/>
    <w:rPr>
      <w:rFonts w:ascii="Symbol" w:hAnsi="Symbol" w:cs="Symbol"/>
      <w:color w:val="auto"/>
    </w:rPr>
  </w:style>
  <w:style w:type="character" w:styleId="WW8Num42z0">
    <w:name w:val="WW8Num42z0"/>
    <w:qFormat/>
    <w:rPr>
      <w:rFonts w:ascii="Symbol" w:hAnsi="Symbol" w:cs="Symbol"/>
    </w:rPr>
  </w:style>
  <w:style w:type="character" w:styleId="WW8Num43z0">
    <w:name w:val="WW8Num43z0"/>
    <w:qFormat/>
    <w:rPr>
      <w:rFonts w:ascii="Symbol" w:hAnsi="Symbol" w:cs="Symbol"/>
      <w:color w:val="auto"/>
    </w:rPr>
  </w:style>
  <w:style w:type="character" w:styleId="WW8Num44z0">
    <w:name w:val="WW8Num44z0"/>
    <w:qFormat/>
    <w:rPr>
      <w:rFonts w:ascii="Symbol" w:hAnsi="Symbol" w:cs="Symbol"/>
      <w:color w:val="auto"/>
    </w:rPr>
  </w:style>
  <w:style w:type="character" w:styleId="WW8Num45z0">
    <w:name w:val="WW8Num45z0"/>
    <w:qFormat/>
    <w:rPr>
      <w:color w:val="auto"/>
    </w:rPr>
  </w:style>
  <w:style w:type="character" w:styleId="WW8Num47z0">
    <w:name w:val="WW8Num47z0"/>
    <w:qFormat/>
    <w:rPr>
      <w:rFonts w:ascii="Symbol" w:hAnsi="Symbol" w:cs="Symbol"/>
    </w:rPr>
  </w:style>
  <w:style w:type="character" w:styleId="WW8Num48z0">
    <w:name w:val="WW8Num48z0"/>
    <w:qFormat/>
    <w:rPr>
      <w:rFonts w:ascii="Symbol" w:hAnsi="Symbol" w:cs="Symbol"/>
    </w:rPr>
  </w:style>
  <w:style w:type="character" w:styleId="WW8Num50z0">
    <w:name w:val="WW8Num50z0"/>
    <w:qFormat/>
    <w:rPr>
      <w:rFonts w:ascii="Symbol" w:hAnsi="Symbol" w:cs="Symbol"/>
      <w:color w:val="auto"/>
    </w:rPr>
  </w:style>
  <w:style w:type="character" w:styleId="WW8Num52z0">
    <w:name w:val="WW8Num52z0"/>
    <w:qFormat/>
    <w:rPr>
      <w:rFonts w:ascii="Symbol" w:hAnsi="Symbol" w:cs="Symbol"/>
    </w:rPr>
  </w:style>
  <w:style w:type="character" w:styleId="WW8Num54z0">
    <w:name w:val="WW8Num54z0"/>
    <w:qFormat/>
    <w:rPr/>
  </w:style>
  <w:style w:type="character" w:styleId="WW8Num55z0">
    <w:name w:val="WW8Num55z0"/>
    <w:qFormat/>
    <w:rPr>
      <w:rFonts w:ascii="Symbol" w:hAnsi="Symbol" w:cs="Symbol"/>
      <w:color w:val="auto"/>
    </w:rPr>
  </w:style>
  <w:style w:type="character" w:styleId="WW8Num56z0">
    <w:name w:val="WW8Num56z0"/>
    <w:qFormat/>
    <w:rPr>
      <w:rFonts w:ascii="Symbol" w:hAnsi="Symbol" w:cs="Symbol"/>
      <w:color w:val="auto"/>
    </w:rPr>
  </w:style>
  <w:style w:type="character" w:styleId="WW8Num57z0">
    <w:name w:val="WW8Num57z0"/>
    <w:qFormat/>
    <w:rPr>
      <w:rFonts w:ascii="Symbol" w:hAnsi="Symbol" w:cs="Symbol"/>
      <w:color w:val="auto"/>
    </w:rPr>
  </w:style>
  <w:style w:type="character" w:styleId="DefaultParagraphFont">
    <w:name w:val="Default Paragraph Font"/>
    <w:qFormat/>
    <w:rPr/>
  </w:style>
  <w:style w:type="character" w:styleId="AAAddress">
    <w:name w:val="AA Address"/>
    <w:basedOn w:val="DefaultParagraphFont"/>
    <w:qFormat/>
    <w:rPr>
      <w:rFonts w:ascii="Arial" w:hAnsi="Arial" w:cs="Arial"/>
      <w:strike w:val="false"/>
      <w:dstrike w:val="false"/>
      <w:color w:val="auto"/>
      <w:spacing w:val="0"/>
      <w:w w:val="100"/>
      <w:position w:val="0"/>
      <w:sz w:val="14"/>
      <w:sz w:val="14"/>
      <w:u w:val="none"/>
      <w:vertAlign w:val="baseline"/>
      <w:lang w:val="en-US"/>
    </w:rPr>
  </w:style>
  <w:style w:type="character" w:styleId="AAReference">
    <w:name w:val="AA Reference"/>
    <w:basedOn w:val="DefaultParagraphFont"/>
    <w:qFormat/>
    <w:rPr>
      <w:rFonts w:ascii="Arial" w:hAnsi="Arial" w:cs="Arial"/>
      <w:strike w:val="false"/>
      <w:dstrike w:val="false"/>
      <w:color w:val="auto"/>
      <w:spacing w:val="0"/>
      <w:w w:val="100"/>
      <w:position w:val="0"/>
      <w:sz w:val="14"/>
      <w:sz w:val="14"/>
      <w:vertAlign w:val="baseline"/>
      <w:lang w:val="en-US"/>
    </w:rPr>
  </w:style>
  <w:style w:type="character" w:styleId="Strong">
    <w:name w:val="Strong"/>
    <w:basedOn w:val="DefaultParagraphFont"/>
    <w:qFormat/>
    <w:rPr>
      <w:b/>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next w:val="Normal"/>
    <w:qFormat/>
    <w:pPr/>
    <w:rPr>
      <w:b/>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1134"/>
        <w:tab w:val="center" w:pos="4986" w:leader="none"/>
        <w:tab w:val="right" w:pos="9972" w:leader="none"/>
      </w:tabs>
    </w:pPr>
    <w:rPr/>
  </w:style>
  <w:style w:type="paragraph" w:styleId="Header">
    <w:name w:val="header"/>
    <w:basedOn w:val="Normal"/>
    <w:pPr>
      <w:tabs>
        <w:tab w:val="left" w:pos="1134" w:leader="none"/>
        <w:tab w:val="center" w:pos="4536" w:leader="none"/>
        <w:tab w:val="right" w:pos="9072" w:leader="none"/>
      </w:tabs>
    </w:pPr>
    <w:rPr/>
  </w:style>
  <w:style w:type="paragraph" w:styleId="Footer">
    <w:name w:val="footer"/>
    <w:basedOn w:val="Normal"/>
    <w:pPr>
      <w:tabs>
        <w:tab w:val="left" w:pos="1134" w:leader="none"/>
        <w:tab w:val="center" w:pos="4536" w:leader="none"/>
        <w:tab w:val="right" w:pos="9072" w:leader="none"/>
      </w:tabs>
    </w:pPr>
    <w:rPr/>
  </w:style>
  <w:style w:type="paragraph" w:styleId="ListBullet">
    <w:name w:val="List Bullet"/>
    <w:basedOn w:val="Normal"/>
    <w:qFormat/>
    <w:pPr>
      <w:numPr>
        <w:ilvl w:val="0"/>
        <w:numId w:val="11"/>
      </w:numPr>
      <w:tabs>
        <w:tab w:val="left" w:pos="284" w:leader="none"/>
        <w:tab w:val="left" w:pos="1134" w:leader="none"/>
      </w:tabs>
      <w:ind w:hanging="284" w:start="284" w:end="0"/>
    </w:pPr>
    <w:rPr/>
  </w:style>
  <w:style w:type="paragraph" w:styleId="ListBullet2">
    <w:name w:val="List Bullet 2"/>
    <w:basedOn w:val="Normal"/>
    <w:qFormat/>
    <w:pPr>
      <w:numPr>
        <w:ilvl w:val="0"/>
        <w:numId w:val="9"/>
      </w:numPr>
      <w:tabs>
        <w:tab w:val="left" w:pos="567" w:leader="none"/>
        <w:tab w:val="left" w:pos="1134" w:leader="none"/>
      </w:tabs>
      <w:ind w:hanging="284" w:start="851" w:end="0"/>
    </w:pPr>
    <w:rPr/>
  </w:style>
  <w:style w:type="paragraph" w:styleId="ListBullet3">
    <w:name w:val="List Bullet 3"/>
    <w:basedOn w:val="Normal"/>
    <w:qFormat/>
    <w:pPr>
      <w:numPr>
        <w:ilvl w:val="0"/>
        <w:numId w:val="8"/>
      </w:numPr>
      <w:tabs>
        <w:tab w:val="left" w:pos="851" w:leader="none"/>
        <w:tab w:val="left" w:pos="1134" w:leader="none"/>
      </w:tabs>
      <w:ind w:hanging="284" w:start="1135" w:end="0"/>
    </w:pPr>
    <w:rPr/>
  </w:style>
  <w:style w:type="paragraph" w:styleId="ListBullet4">
    <w:name w:val="List Bullet 4"/>
    <w:basedOn w:val="Normal"/>
    <w:qFormat/>
    <w:pPr>
      <w:numPr>
        <w:ilvl w:val="0"/>
        <w:numId w:val="7"/>
      </w:numPr>
      <w:ind w:hanging="284" w:start="1418" w:end="0"/>
    </w:pPr>
    <w:rPr/>
  </w:style>
  <w:style w:type="paragraph" w:styleId="ListNumber">
    <w:name w:val="List Number"/>
    <w:basedOn w:val="Normal"/>
    <w:qFormat/>
    <w:pPr>
      <w:numPr>
        <w:ilvl w:val="0"/>
        <w:numId w:val="10"/>
      </w:numPr>
      <w:tabs>
        <w:tab w:val="left" w:pos="284" w:leader="none"/>
        <w:tab w:val="left" w:pos="1134" w:leader="none"/>
      </w:tabs>
      <w:ind w:hanging="284" w:start="284" w:end="0"/>
    </w:pPr>
    <w:rPr/>
  </w:style>
  <w:style w:type="paragraph" w:styleId="ListNumber2">
    <w:name w:val="List Number 2"/>
    <w:basedOn w:val="Normal"/>
    <w:qFormat/>
    <w:pPr>
      <w:numPr>
        <w:ilvl w:val="0"/>
        <w:numId w:val="5"/>
      </w:numPr>
      <w:tabs>
        <w:tab w:val="left" w:pos="567" w:leader="none"/>
        <w:tab w:val="left" w:pos="1134" w:leader="none"/>
      </w:tabs>
      <w:ind w:hanging="284" w:start="851" w:end="0"/>
    </w:pPr>
    <w:rPr/>
  </w:style>
  <w:style w:type="paragraph" w:styleId="ListNumber3">
    <w:name w:val="List Number 3"/>
    <w:basedOn w:val="Normal"/>
    <w:qFormat/>
    <w:pPr>
      <w:numPr>
        <w:ilvl w:val="0"/>
        <w:numId w:val="4"/>
      </w:numPr>
      <w:tabs>
        <w:tab w:val="left" w:pos="851" w:leader="none"/>
        <w:tab w:val="left" w:pos="1134" w:leader="none"/>
      </w:tabs>
      <w:ind w:hanging="284" w:start="1135" w:end="0"/>
    </w:pPr>
    <w:rPr/>
  </w:style>
  <w:style w:type="paragraph" w:styleId="NormalIndent">
    <w:name w:val="Normal Indent"/>
    <w:basedOn w:val="Normal"/>
    <w:qFormat/>
    <w:pPr>
      <w:ind w:hanging="0" w:start="284" w:end="0"/>
    </w:pPr>
    <w:rPr/>
  </w:style>
  <w:style w:type="paragraph" w:styleId="AAFrameAddress">
    <w:name w:val="AA Frame Address"/>
    <w:basedOn w:val="Heading1"/>
    <w:qFormat/>
    <w:pPr>
      <w:numPr>
        <w:ilvl w:val="0"/>
        <w:numId w:val="0"/>
      </w:numPr>
      <w:shd w:fill="auto" w:val="clear"/>
      <w:spacing w:lineRule="auto" w:line="240" w:before="0" w:after="90"/>
      <w:outlineLvl w:val="9"/>
    </w:pPr>
    <w:rPr>
      <w:lang w:val="en-CA"/>
    </w:rPr>
  </w:style>
  <w:style w:type="paragraph" w:styleId="ListNumber5">
    <w:name w:val="List Number 5"/>
    <w:basedOn w:val="Normal"/>
    <w:qFormat/>
    <w:pPr>
      <w:numPr>
        <w:ilvl w:val="0"/>
        <w:numId w:val="2"/>
      </w:numPr>
      <w:tabs>
        <w:tab w:val="left" w:pos="1134" w:leader="none"/>
        <w:tab w:val="left" w:pos="1418" w:leader="none"/>
      </w:tabs>
      <w:ind w:hanging="284" w:start="1418" w:end="0"/>
    </w:pPr>
    <w:rPr/>
  </w:style>
  <w:style w:type="paragraph" w:styleId="ListNumber4">
    <w:name w:val="List Number 4"/>
    <w:basedOn w:val="Normal"/>
    <w:qFormat/>
    <w:pPr>
      <w:numPr>
        <w:ilvl w:val="0"/>
        <w:numId w:val="3"/>
      </w:numPr>
      <w:tabs>
        <w:tab w:val="left" w:pos="1134" w:leader="none"/>
        <w:tab w:val="left" w:pos="1418" w:leader="none"/>
      </w:tabs>
    </w:pPr>
    <w:rPr/>
  </w:style>
  <w:style w:type="paragraph" w:styleId="TableofAuthorities">
    <w:name w:val="Table of Authorities"/>
    <w:basedOn w:val="Normal"/>
    <w:next w:val="Normal"/>
    <w:qFormat/>
    <w:pPr>
      <w:ind w:hanging="284" w:start="284" w:end="0"/>
    </w:pPr>
    <w:rPr/>
  </w:style>
  <w:style w:type="paragraph" w:styleId="Index1">
    <w:name w:val="index 1"/>
    <w:basedOn w:val="Normal"/>
    <w:next w:val="Normal"/>
    <w:pPr>
      <w:ind w:hanging="284" w:start="284" w:end="0"/>
    </w:pPr>
    <w:rPr/>
  </w:style>
  <w:style w:type="paragraph" w:styleId="Index2">
    <w:name w:val="index 2"/>
    <w:basedOn w:val="Normal"/>
    <w:next w:val="Normal"/>
    <w:pPr>
      <w:ind w:hanging="284" w:start="568" w:end="0"/>
    </w:pPr>
    <w:rPr/>
  </w:style>
  <w:style w:type="paragraph" w:styleId="Index3">
    <w:name w:val="index 3"/>
    <w:basedOn w:val="Normal"/>
    <w:next w:val="Normal"/>
    <w:pPr>
      <w:ind w:hanging="284" w:start="851" w:end="0"/>
    </w:pPr>
    <w:rPr/>
  </w:style>
  <w:style w:type="paragraph" w:styleId="Index4">
    <w:name w:val="Index 4"/>
    <w:basedOn w:val="Normal"/>
    <w:next w:val="Normal"/>
    <w:qFormat/>
    <w:pPr>
      <w:ind w:hanging="284" w:start="1135" w:end="0"/>
    </w:pPr>
    <w:rPr/>
  </w:style>
  <w:style w:type="paragraph" w:styleId="Index6">
    <w:name w:val="Index 6"/>
    <w:basedOn w:val="Normal"/>
    <w:next w:val="Normal"/>
    <w:qFormat/>
    <w:pPr>
      <w:ind w:hanging="284" w:start="1702" w:end="0"/>
    </w:pPr>
    <w:rPr/>
  </w:style>
  <w:style w:type="paragraph" w:styleId="Index5">
    <w:name w:val="Index 5"/>
    <w:basedOn w:val="Normal"/>
    <w:next w:val="Normal"/>
    <w:qFormat/>
    <w:pPr>
      <w:ind w:hanging="284" w:start="1418" w:end="0"/>
    </w:pPr>
    <w:rPr/>
  </w:style>
  <w:style w:type="paragraph" w:styleId="Index7">
    <w:name w:val="Index 7"/>
    <w:basedOn w:val="Normal"/>
    <w:next w:val="Normal"/>
    <w:qFormat/>
    <w:pPr>
      <w:ind w:hanging="284" w:start="1985" w:end="0"/>
    </w:pPr>
    <w:rPr/>
  </w:style>
  <w:style w:type="paragraph" w:styleId="Index8">
    <w:name w:val="Index 8"/>
    <w:basedOn w:val="Normal"/>
    <w:next w:val="Normal"/>
    <w:qFormat/>
    <w:pPr>
      <w:ind w:hanging="284" w:start="2269" w:end="0"/>
    </w:pPr>
    <w:rPr/>
  </w:style>
  <w:style w:type="paragraph" w:styleId="Index9">
    <w:name w:val="Index 9"/>
    <w:basedOn w:val="Normal"/>
    <w:next w:val="Normal"/>
    <w:qFormat/>
    <w:pPr>
      <w:ind w:hanging="284" w:start="2552" w:end="0"/>
    </w:pPr>
    <w:rPr/>
  </w:style>
  <w:style w:type="paragraph" w:styleId="TOC2">
    <w:name w:val="toc 2"/>
    <w:basedOn w:val="Normal"/>
    <w:next w:val="Normal"/>
    <w:pPr>
      <w:ind w:hanging="0" w:start="284" w:end="0"/>
    </w:pPr>
    <w:rPr/>
  </w:style>
  <w:style w:type="paragraph" w:styleId="TOC3">
    <w:name w:val="toc 3"/>
    <w:basedOn w:val="Normal"/>
    <w:next w:val="Normal"/>
    <w:pPr>
      <w:ind w:hanging="0" w:start="567" w:end="0"/>
    </w:pPr>
    <w:rPr/>
  </w:style>
  <w:style w:type="paragraph" w:styleId="TOC4">
    <w:name w:val="toc 4"/>
    <w:basedOn w:val="Normal"/>
    <w:next w:val="Normal"/>
    <w:pPr>
      <w:ind w:hanging="0" w:start="851" w:end="0"/>
    </w:pPr>
    <w:rPr/>
  </w:style>
  <w:style w:type="paragraph" w:styleId="TOC5">
    <w:name w:val="toc 5"/>
    <w:basedOn w:val="Normal"/>
    <w:next w:val="Normal"/>
    <w:pPr>
      <w:ind w:hanging="0" w:start="1134" w:end="0"/>
    </w:pPr>
    <w:rPr/>
  </w:style>
  <w:style w:type="paragraph" w:styleId="TOC6">
    <w:name w:val="toc 6"/>
    <w:basedOn w:val="Normal"/>
    <w:next w:val="Normal"/>
    <w:pPr>
      <w:ind w:hanging="0" w:start="1418" w:end="0"/>
    </w:pPr>
    <w:rPr/>
  </w:style>
  <w:style w:type="paragraph" w:styleId="TOC7">
    <w:name w:val="toc 7"/>
    <w:basedOn w:val="Normal"/>
    <w:next w:val="Normal"/>
    <w:pPr>
      <w:ind w:hanging="0" w:start="1701" w:end="0"/>
    </w:pPr>
    <w:rPr/>
  </w:style>
  <w:style w:type="paragraph" w:styleId="TOC8">
    <w:name w:val="toc 8"/>
    <w:basedOn w:val="Normal"/>
    <w:next w:val="Normal"/>
    <w:pPr>
      <w:ind w:hanging="0" w:start="1985" w:end="0"/>
    </w:pPr>
    <w:rPr/>
  </w:style>
  <w:style w:type="paragraph" w:styleId="TOC9">
    <w:name w:val="toc 9"/>
    <w:basedOn w:val="Normal"/>
    <w:next w:val="Normal"/>
    <w:pPr>
      <w:ind w:hanging="0" w:start="2268" w:end="0"/>
    </w:pPr>
    <w:rPr/>
  </w:style>
  <w:style w:type="paragraph" w:styleId="TableofFigures">
    <w:name w:val="Table of Figures"/>
    <w:basedOn w:val="Normal"/>
    <w:next w:val="Normal"/>
    <w:qFormat/>
    <w:pPr>
      <w:ind w:hanging="567" w:start="567" w:end="0"/>
    </w:pPr>
    <w:rPr/>
  </w:style>
  <w:style w:type="paragraph" w:styleId="ListBullet5">
    <w:name w:val="List Bullet 5"/>
    <w:basedOn w:val="Normal"/>
    <w:qFormat/>
    <w:pPr>
      <w:numPr>
        <w:ilvl w:val="0"/>
        <w:numId w:val="6"/>
      </w:numPr>
      <w:tabs>
        <w:tab w:val="left" w:pos="1134" w:leader="none"/>
        <w:tab w:val="left" w:pos="1418" w:leader="none"/>
      </w:tabs>
      <w:ind w:hanging="284" w:start="1702" w:end="0"/>
    </w:pPr>
    <w:rPr/>
  </w:style>
  <w:style w:type="paragraph" w:styleId="BodyTextFirstIndent">
    <w:name w:val="Body Text First Indent"/>
    <w:basedOn w:val="BodyText"/>
    <w:qFormat/>
    <w:pPr>
      <w:ind w:firstLine="284" w:start="0" w:end="0"/>
    </w:pPr>
    <w:rPr/>
  </w:style>
  <w:style w:type="paragraph" w:styleId="BodyTextIndent">
    <w:name w:val="Body Text Indent"/>
    <w:basedOn w:val="Normal"/>
    <w:pPr>
      <w:spacing w:before="0" w:after="120"/>
      <w:ind w:hanging="0" w:start="283" w:end="0"/>
    </w:pPr>
    <w:rPr/>
  </w:style>
  <w:style w:type="paragraph" w:styleId="BodyTextFirstIndent2">
    <w:name w:val="Body Text First Indent 2"/>
    <w:basedOn w:val="BodyTextIndent"/>
    <w:qFormat/>
    <w:pPr>
      <w:ind w:firstLine="284" w:start="284" w:end="0"/>
    </w:pPr>
    <w:rPr/>
  </w:style>
  <w:style w:type="paragraph" w:styleId="AAFrameLogo">
    <w:name w:val="AA Frame Logo"/>
    <w:basedOn w:val="Normal"/>
    <w:qFormat/>
    <w:pPr/>
    <w:rPr/>
  </w:style>
  <w:style w:type="paragraph" w:styleId="AA1stlevelbullet">
    <w:name w:val="AA 1st level bullet"/>
    <w:basedOn w:val="Normal"/>
    <w:qFormat/>
    <w:pPr>
      <w:numPr>
        <w:ilvl w:val="0"/>
        <w:numId w:val="17"/>
      </w:numPr>
      <w:tabs>
        <w:tab w:val="clear" w:pos="1134"/>
      </w:tabs>
      <w:ind w:hanging="284" w:start="284" w:end="0"/>
    </w:pPr>
    <w:rPr/>
  </w:style>
  <w:style w:type="paragraph" w:styleId="AA2ndlevelbullet">
    <w:name w:val="AA 2nd level bullet"/>
    <w:basedOn w:val="AA1stlevelbullet"/>
    <w:qFormat/>
    <w:pPr>
      <w:numPr>
        <w:ilvl w:val="0"/>
        <w:numId w:val="18"/>
      </w:numPr>
      <w:ind w:hanging="284" w:start="568" w:end="0"/>
    </w:pPr>
    <w:rPr/>
  </w:style>
  <w:style w:type="paragraph" w:styleId="AANumbering">
    <w:name w:val="AA Numbering"/>
    <w:basedOn w:val="Normal"/>
    <w:qFormat/>
    <w:pPr>
      <w:numPr>
        <w:ilvl w:val="0"/>
        <w:numId w:val="13"/>
      </w:numPr>
      <w:ind w:hanging="0" w:start="0" w:end="0"/>
    </w:pPr>
    <w:rPr/>
  </w:style>
  <w:style w:type="paragraph" w:styleId="EnvelopeReturn">
    <w:name w:val="envelope return"/>
    <w:basedOn w:val="Normal"/>
    <w:pPr/>
    <w:rPr>
      <w:rFonts w:ascii="Arial" w:hAnsi="Arial" w:cs="Arial"/>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226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2001-06-18T10:28:00Z</dcterms:created>
  <dc:creator>Jennifer L. Muse</dc:creator>
  <dc:description/>
  <dc:language>en-CA</dc:language>
  <cp:lastModifiedBy>Jennifer L. Muse</cp:lastModifiedBy>
  <cp:lastPrinted>2001-06-18T14:11:00Z</cp:lastPrinted>
  <dcterms:modified xsi:type="dcterms:W3CDTF">2001-06-18T17:29:00Z</dcterms:modified>
  <cp:revision>15</cp:revision>
  <dc:subject/>
  <dc:title>May Power Questions</dc:title>
</cp:coreProperties>
</file>