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4320"/>
        <w:rPr/>
      </w:pPr>
      <w:r>
        <w:rPr>
          <w:rFonts w:cs="Times New Roman" w:ascii="Times New Roman" w:hAnsi="Times New Roman"/>
          <w:i/>
        </w:rPr>
        <w:drawing>
          <wp:inline distT="0" distB="0" distL="0" distR="0">
            <wp:extent cx="723900" cy="749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5" r="-16" b="-15"/>
                    <a:stretch>
                      <a:fillRect/>
                    </a:stretch>
                  </pic:blipFill>
                  <pic:spPr bwMode="auto">
                    <a:xfrm>
                      <a:off x="0" y="0"/>
                      <a:ext cx="723900" cy="749300"/>
                    </a:xfrm>
                    <a:prstGeom prst="rect">
                      <a:avLst/>
                    </a:prstGeom>
                    <a:noFill/>
                  </pic:spPr>
                </pic:pic>
              </a:graphicData>
            </a:graphic>
          </wp:inline>
        </w:drawing>
      </w:r>
      <w:r>
        <w:rPr>
          <w:rFonts w:cs="Times New Roman" w:ascii="Times New Roman" w:hAnsi="Times New Roman"/>
          <w:i/>
        </w:rPr>
        <w:t>1400 Smith Street, Houston, Texas 77002</w:t>
      </w:r>
    </w:p>
    <w:p>
      <w:pPr>
        <w:pStyle w:val="Normal"/>
        <w:ind w:end="4320"/>
        <w:rPr>
          <w:rFonts w:ascii="Times New Roman" w:hAnsi="Times New Roman" w:cs="Times New Roman"/>
          <w:i/>
          <w:i/>
          <w:lang w:val="en-CA"/>
        </w:rPr>
      </w:pPr>
      <w:r>
        <w:rPr>
          <w:rFonts w:cs="Times New Roman" w:ascii="Times New Roman" w:hAnsi="Times New Roman"/>
          <w:i/>
          <w:lang w:val="en-CA"/>
        </w:rPr>
      </w:r>
      <w:r>
        <mc:AlternateContent>
          <mc:Choice Requires="wps">
            <w:drawing>
              <wp:anchor behindDoc="0" distT="0" distB="0" distL="114935" distR="114935" simplePos="0" locked="0" layoutInCell="1" allowOverlap="1" relativeHeight="3">
                <wp:simplePos x="0" y="0"/>
                <wp:positionH relativeFrom="column">
                  <wp:posOffset>4457700</wp:posOffset>
                </wp:positionH>
                <wp:positionV relativeFrom="paragraph">
                  <wp:posOffset>100330</wp:posOffset>
                </wp:positionV>
                <wp:extent cx="2514600" cy="6541135"/>
                <wp:effectExtent l="0" t="0" r="0" b="0"/>
                <wp:wrapNone/>
                <wp:docPr id="2" name="Frame1"/>
                <a:graphic xmlns:a="http://schemas.openxmlformats.org/drawingml/2006/main">
                  <a:graphicData uri="http://schemas.microsoft.com/office/word/2010/wordprocessingShape">
                    <wps:wsp>
                      <wps:cNvSpPr txBox="1"/>
                      <wps:spPr>
                        <a:xfrm>
                          <a:off x="0" y="0"/>
                          <a:ext cx="2514600" cy="6541135"/>
                        </a:xfrm>
                        <a:prstGeom prst="rect"/>
                        <a:solidFill>
                          <a:srgbClr val="FFFFFF"/>
                        </a:solidFill>
                        <a:ln w="9525">
                          <a:solidFill>
                            <a:srgbClr val="000000"/>
                          </a:solidFill>
                        </a:ln>
                      </wps:spPr>
                      <wps:txbx>
                        <w:txbxContent>
                          <w:p>
                            <w:pPr>
                              <w:pStyle w:val="Heading4"/>
                              <w:spacing w:before="0" w:after="120"/>
                              <w:ind w:hanging="0" w:start="0"/>
                              <w:rPr/>
                            </w:pPr>
                            <w:r>
                              <w:rPr/>
                              <w:t>Commentary</w:t>
                            </w:r>
                          </w:p>
                          <w:p>
                            <w:pPr>
                              <w:pStyle w:val="Normal"/>
                              <w:spacing w:before="60" w:after="60"/>
                              <w:jc w:val="both"/>
                              <w:rPr/>
                            </w:pPr>
                            <w:r>
                              <w:rPr>
                                <w:rFonts w:cs="HELVETICA" w:ascii="HELVETICA" w:hAnsi="HELVETICA"/>
                                <w:sz w:val="22"/>
                              </w:rPr>
                              <w:t>Every time I look at the linerboard market I am reminded of the children’s story about the little train that could.  He chugged and chugged, straining oh so slowly up the hill.  In the same way linerboard prices are struggling to keep upward momentum, though unlike in the story, the linerboard hill keeps getting steeper.  The situation on the surface doesn’t look too grim – April inventories did fall by 6,500 tons to 2.691 million tons, caused by strong demand and mill downtime of 250,000 tons, partially offset by one less shipping day.  However, inventories historically fall 39,000 tons in April.</w:t>
                            </w:r>
                          </w:p>
                          <w:p>
                            <w:pPr>
                              <w:pStyle w:val="Normal"/>
                              <w:spacing w:before="60" w:after="60"/>
                              <w:jc w:val="both"/>
                              <w:rPr/>
                            </w:pPr>
                            <w:r>
                              <w:rPr>
                                <w:rFonts w:cs="HELVETICA" w:ascii="HELVETICA" w:hAnsi="HELVETICA"/>
                                <w:sz w:val="22"/>
                              </w:rPr>
                              <w:t xml:space="preserve">It is the trends that suggest a different ending for the linerboard train.  The Federal Reserve may be the biggest threat to linerboard pricing momentum.  Higher interest rates will have two undesirable effects on the market: first, the obvious one of slowing domestic demand, a key factor in linerboad demand, and second, providing support for an already strong dollar, making U.S. exports more expensive.  </w:t>
                            </w:r>
                          </w:p>
                          <w:p>
                            <w:pPr>
                              <w:pStyle w:val="Normal"/>
                              <w:suppressAutoHyphens w:val="true"/>
                              <w:spacing w:before="60" w:after="60"/>
                              <w:jc w:val="both"/>
                              <w:rPr>
                                <w:rFonts w:ascii="HELVETICA" w:hAnsi="HELVETICA" w:cs="HELVETICA"/>
                                <w:sz w:val="22"/>
                              </w:rPr>
                            </w:pPr>
                            <w:r>
                              <w:rPr>
                                <w:rFonts w:cs="HELVETICA" w:ascii="HELVETICA" w:hAnsi="HELVETICA"/>
                                <w:sz w:val="22"/>
                              </w:rPr>
                              <w:t>To keep the market steady, downtime will have to keep causing a reduction in inventories to a level below the current 4 weeks of supply.  It does make one wonder how the market will reabsorb this capacity if demand does indeed moderate.</w:t>
                            </w:r>
                          </w:p>
                        </w:txbxContent>
                      </wps:txbx>
                      <wps:bodyPr anchor="t" lIns="91440" tIns="45720" rIns="91440" bIns="45720">
                        <a:noAutofit/>
                      </wps:bodyPr>
                    </wps:wsp>
                  </a:graphicData>
                </a:graphic>
              </wp:anchor>
            </w:drawing>
          </mc:Choice>
          <mc:Fallback>
            <w:pict>
              <v:rect fillcolor="#FFFFFF" strokecolor="#000000" strokeweight="0pt" style="position:absolute;rotation:-0;width:198pt;height:515.05pt;mso-wrap-distance-left:9.05pt;mso-wrap-distance-right:9.05pt;mso-wrap-distance-top:0pt;mso-wrap-distance-bottom:0pt;margin-top:7.9pt;mso-position-vertical-relative:text;margin-left:351pt;mso-position-horizontal-relative:text">
                <v:textbox>
                  <w:txbxContent>
                    <w:p>
                      <w:pPr>
                        <w:pStyle w:val="Heading4"/>
                        <w:spacing w:before="0" w:after="120"/>
                        <w:ind w:hanging="0" w:start="0"/>
                        <w:rPr/>
                      </w:pPr>
                      <w:r>
                        <w:rPr/>
                        <w:t>Commentary</w:t>
                      </w:r>
                    </w:p>
                    <w:p>
                      <w:pPr>
                        <w:pStyle w:val="Normal"/>
                        <w:spacing w:before="60" w:after="60"/>
                        <w:jc w:val="both"/>
                        <w:rPr/>
                      </w:pPr>
                      <w:r>
                        <w:rPr>
                          <w:rFonts w:cs="HELVETICA" w:ascii="HELVETICA" w:hAnsi="HELVETICA"/>
                          <w:sz w:val="22"/>
                        </w:rPr>
                        <w:t>Every time I look at the linerboard market I am reminded of the children’s story about the little train that could.  He chugged and chugged, straining oh so slowly up the hill.  In the same way linerboard prices are struggling to keep upward momentum, though unlike in the story, the linerboard hill keeps getting steeper.  The situation on the surface doesn’t look too grim – April inventories did fall by 6,500 tons to 2.691 million tons, caused by strong demand and mill downtime of 250,000 tons, partially offset by one less shipping day.  However, inventories historically fall 39,000 tons in April.</w:t>
                      </w:r>
                    </w:p>
                    <w:p>
                      <w:pPr>
                        <w:pStyle w:val="Normal"/>
                        <w:spacing w:before="60" w:after="60"/>
                        <w:jc w:val="both"/>
                        <w:rPr/>
                      </w:pPr>
                      <w:r>
                        <w:rPr>
                          <w:rFonts w:cs="HELVETICA" w:ascii="HELVETICA" w:hAnsi="HELVETICA"/>
                          <w:sz w:val="22"/>
                        </w:rPr>
                        <w:t xml:space="preserve">It is the trends that suggest a different ending for the linerboard train.  The Federal Reserve may be the biggest threat to linerboard pricing momentum.  Higher interest rates will have two undesirable effects on the market: first, the obvious one of slowing domestic demand, a key factor in linerboad demand, and second, providing support for an already strong dollar, making U.S. exports more expensive.  </w:t>
                      </w:r>
                    </w:p>
                    <w:p>
                      <w:pPr>
                        <w:pStyle w:val="Normal"/>
                        <w:suppressAutoHyphens w:val="true"/>
                        <w:spacing w:before="60" w:after="60"/>
                        <w:jc w:val="both"/>
                        <w:rPr>
                          <w:rFonts w:ascii="HELVETICA" w:hAnsi="HELVETICA" w:cs="HELVETICA"/>
                          <w:sz w:val="22"/>
                        </w:rPr>
                      </w:pPr>
                      <w:r>
                        <w:rPr>
                          <w:rFonts w:cs="HELVETICA" w:ascii="HELVETICA" w:hAnsi="HELVETICA"/>
                          <w:sz w:val="22"/>
                        </w:rPr>
                        <w:t>To keep the market steady, downtime will have to keep causing a reduction in inventories to a level below the current 4 weeks of supply.  It does make one wonder how the market will reabsorb this capacity if demand does indeed moderate.</w:t>
                      </w:r>
                    </w:p>
                  </w:txbxContent>
                </v:textbox>
                <w10:wrap type="none"/>
              </v:rect>
            </w:pict>
          </mc:Fallback>
        </mc:AlternateContent>
      </w:r>
    </w:p>
    <w:p>
      <w:pPr>
        <w:sectPr>
          <w:type w:val="nextPage"/>
          <w:pgSz w:w="12240" w:h="15840"/>
          <w:pgMar w:left="605" w:right="605" w:gutter="0" w:header="0" w:top="619" w:footer="0" w:bottom="619"/>
          <w:pgNumType w:fmt="decimal"/>
          <w:formProt w:val="false"/>
          <w:textDirection w:val="lrTb"/>
          <w:docGrid w:type="default" w:linePitch="360" w:charSpace="0"/>
        </w:sectPr>
      </w:pPr>
    </w:p>
    <w:p>
      <w:pPr>
        <w:pStyle w:val="Normal"/>
        <w:keepLines/>
        <w:suppressAutoHyphens w:val="true"/>
        <w:ind w:end="4680"/>
        <w:rPr>
          <w:rFonts w:ascii="Arial" w:hAnsi="Arial" w:cs="Arial"/>
          <w:b/>
        </w:rPr>
      </w:pPr>
      <w:r>
        <w:rPr>
          <w:rFonts w:cs="Arial" w:ascii="Arial" w:hAnsi="Arial"/>
          <w:b/>
        </w:rPr>
        <w:t>Long Term Fixed Prices for Pulp, Paper and Packaging</w:t>
      </w:r>
    </w:p>
    <w:p>
      <w:pPr>
        <w:pStyle w:val="Normal"/>
        <w:keepLines/>
        <w:suppressAutoHyphens w:val="true"/>
        <w:ind w:end="4680"/>
        <w:rPr>
          <w:rFonts w:ascii="Arial Narrow" w:hAnsi="Arial Narrow" w:cs="Arial Narrow"/>
          <w:b/>
          <w:sz w:val="20"/>
        </w:rPr>
      </w:pPr>
      <w:r>
        <w:rPr>
          <w:rFonts w:cs="Arial Narrow" w:ascii="Arial Narrow" w:hAnsi="Arial Narrow"/>
          <w:b/>
          <w:sz w:val="20"/>
        </w:rPr>
      </w:r>
    </w:p>
    <w:p>
      <w:pPr>
        <w:pStyle w:val="Normal"/>
        <w:keepLines/>
        <w:suppressAutoHyphens w:val="true"/>
        <w:ind w:end="4680"/>
        <w:rPr>
          <w:rFonts w:ascii="Arial Narrow" w:hAnsi="Arial Narrow" w:cs="Arial Narrow"/>
          <w:sz w:val="20"/>
        </w:rPr>
      </w:pPr>
      <w:r>
        <w:rPr>
          <w:rFonts w:cs="Arial Narrow" w:ascii="Arial Narrow" w:hAnsi="Arial Narrow"/>
          <w:sz w:val="20"/>
        </w:rPr>
        <w:t>Pricing Schedule for Pulp, Paper and Packaging</w:t>
      </w:r>
    </w:p>
    <w:p>
      <w:pPr>
        <w:pStyle w:val="Normal"/>
        <w:keepLines/>
        <w:suppressAutoHyphens w:val="true"/>
        <w:ind w:end="4680"/>
        <w:rPr>
          <w:rFonts w:ascii="Arial Narrow" w:hAnsi="Arial Narrow" w:cs="Arial Narrow"/>
          <w:sz w:val="20"/>
        </w:rPr>
      </w:pPr>
      <w:r>
        <w:rPr>
          <w:rFonts w:cs="Arial Narrow" w:ascii="Arial Narrow" w:hAnsi="Arial Narrow"/>
          <w:sz w:val="20"/>
        </w:rPr>
        <w:t>Volume 3 Number 87 May 22, 2000</w:t>
      </w:r>
    </w:p>
    <w:p>
      <w:pPr>
        <w:pStyle w:val="Normal"/>
        <w:keepLines/>
        <w:suppressAutoHyphens w:val="true"/>
        <w:ind w:end="4680"/>
        <w:rPr>
          <w:rFonts w:ascii="Arial Narrow" w:hAnsi="Arial Narrow" w:cs="Arial Narrow"/>
          <w:sz w:val="20"/>
        </w:rPr>
      </w:pPr>
      <w:r>
        <w:rPr>
          <w:rFonts w:cs="Arial Narrow" w:ascii="Arial Narrow" w:hAnsi="Arial Narrow"/>
          <w:sz w:val="20"/>
        </w:rPr>
        <w:t>Long-term prices as of May 22, 2000 — June Start (U.S. Denomination)</w:t>
      </w:r>
    </w:p>
    <w:p>
      <w:pPr>
        <w:pStyle w:val="Normal"/>
        <w:keepLines/>
        <w:tabs>
          <w:tab w:val="clear" w:pos="720"/>
          <w:tab w:val="right" w:pos="4950" w:leader="none"/>
          <w:tab w:val="right" w:pos="6120" w:leader="none"/>
        </w:tabs>
        <w:suppressAutoHyphens w:val="true"/>
        <w:ind w:end="4680"/>
        <w:rPr>
          <w:rFonts w:ascii="Arial" w:hAnsi="Arial" w:cs="Arial"/>
          <w:b/>
          <w:i/>
          <w:i/>
          <w:sz w:val="16"/>
        </w:rPr>
      </w:pPr>
      <w:r>
        <w:rPr>
          <w:rFonts w:cs="Arial" w:ascii="Arial" w:hAnsi="Arial"/>
          <w:b/>
          <w:i/>
          <w:sz w:val="16"/>
        </w:rPr>
      </w:r>
    </w:p>
    <w:p>
      <w:pPr>
        <w:pStyle w:val="Normal"/>
        <w:keepLines/>
        <w:tabs>
          <w:tab w:val="clear" w:pos="720"/>
          <w:tab w:val="decimal" w:pos="4860" w:leader="none"/>
          <w:tab w:val="right" w:pos="4950" w:leader="none"/>
          <w:tab w:val="right" w:pos="6120" w:leader="none"/>
        </w:tabs>
        <w:suppressAutoHyphens w:val="true"/>
        <w:spacing w:before="0" w:after="20"/>
        <w:ind w:end="4680"/>
        <w:rPr>
          <w:rFonts w:ascii="Arial" w:hAnsi="Arial" w:cs="Arial"/>
          <w:b/>
          <w:i/>
          <w:i/>
          <w:sz w:val="16"/>
        </w:rPr>
      </w:pPr>
      <w:r>
        <w:rPr>
          <w:rFonts w:cs="Arial" w:ascii="Arial" w:hAnsi="Arial"/>
          <w:b/>
          <w:i/>
          <w:sz w:val="16"/>
        </w:rPr>
        <w:t xml:space="preserve">Enron’s Bid Prices for Pulp, Paper and Packaging </w:t>
        <w:tab/>
      </w:r>
      <w:r>
        <w:rPr>
          <w:rFonts w:cs="Arial" w:ascii="Arial" w:hAnsi="Arial"/>
          <w:b/>
          <w:i/>
          <w:sz w:val="16"/>
          <w:u w:val="single"/>
        </w:rPr>
        <w:t>Bid</w:t>
      </w:r>
    </w:p>
    <w:p>
      <w:pPr>
        <w:pStyle w:val="Normal"/>
        <w:keepLines/>
        <w:tabs>
          <w:tab w:val="clear" w:pos="720"/>
          <w:tab w:val="right" w:pos="3870" w:leader="none"/>
          <w:tab w:val="left" w:pos="4050" w:leader="none"/>
          <w:tab w:val="right" w:pos="5400" w:leader="none"/>
          <w:tab w:val="center" w:pos="5760" w:leader="none"/>
        </w:tabs>
        <w:suppressAutoHyphens w:val="true"/>
        <w:spacing w:before="0" w:after="20"/>
        <w:ind w:end="3870"/>
        <w:rPr>
          <w:rFonts w:ascii="Arial" w:hAnsi="Arial" w:cs="Arial"/>
          <w:b/>
          <w:i/>
          <w:i/>
          <w:sz w:val="16"/>
        </w:rPr>
      </w:pPr>
      <w:r>
        <w:rPr>
          <w:rFonts w:cs="Arial" w:ascii="Arial" w:hAnsi="Arial"/>
          <w:b/>
          <w:i/>
          <w:sz w:val="16"/>
        </w:rPr>
        <w:tab/>
        <w:tab/>
        <w:t xml:space="preserve">  </w:t>
      </w:r>
      <w:r>
        <w:rPr>
          <w:rFonts w:cs="Arial" w:ascii="Arial" w:hAnsi="Arial"/>
          <w:b/>
          <w:i/>
          <w:sz w:val="16"/>
          <w:u w:val="single"/>
        </w:rPr>
        <w:t>3 Year</w:t>
      </w:r>
      <w:r>
        <w:rPr>
          <w:rFonts w:cs="Arial" w:ascii="Arial" w:hAnsi="Arial"/>
          <w:b/>
          <w:i/>
          <w:sz w:val="16"/>
        </w:rPr>
        <w:t xml:space="preserve">     </w:t>
      </w:r>
      <w:r>
        <w:rPr>
          <w:rFonts w:cs="Arial" w:ascii="Arial" w:hAnsi="Arial"/>
          <w:b/>
          <w:i/>
          <w:sz w:val="16"/>
          <w:u w:val="single"/>
        </w:rPr>
        <w:t>5 Year</w:t>
      </w:r>
      <w:r>
        <w:rPr>
          <w:rFonts w:cs="Arial" w:ascii="Arial" w:hAnsi="Arial"/>
          <w:b/>
          <w:i/>
          <w:sz w:val="16"/>
        </w:rPr>
        <w:tab/>
        <w:tab/>
      </w:r>
      <w:r>
        <w:rPr>
          <w:rFonts w:cs="Arial" w:ascii="Arial" w:hAnsi="Arial"/>
          <w:b/>
          <w:i/>
          <w:sz w:val="16"/>
          <w:u w:val="single"/>
        </w:rPr>
        <w:t>Current RISI Index</w:t>
      </w:r>
    </w:p>
    <w:p>
      <w:pPr>
        <w:pStyle w:val="Heading2"/>
        <w:tabs>
          <w:tab w:val="clear" w:pos="4950"/>
          <w:tab w:val="clear" w:pos="5850"/>
          <w:tab w:val="decimal" w:pos="3600" w:leader="none"/>
          <w:tab w:val="decimal" w:pos="4410" w:leader="none"/>
          <w:tab w:val="decimal" w:pos="5130" w:leader="none"/>
          <w:tab w:val="decimal" w:pos="6300" w:leader="none"/>
        </w:tabs>
        <w:spacing w:before="0" w:after="20"/>
        <w:ind w:hanging="0" w:start="0" w:end="4680"/>
        <w:rPr/>
      </w:pPr>
      <w:r>
        <w:rPr/>
        <w:t xml:space="preserve">No. 5 40 lb. Coated/Ton </w:t>
        <w:tab/>
        <w:tab/>
        <w:t xml:space="preserve">880.00 </w:t>
        <w:tab/>
        <w:t>870.00</w:t>
        <w:tab/>
        <w:t>875.00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No. 5 34 Ib. Coated/Ton </w:t>
        <w:tab/>
        <w:tab/>
        <w:t xml:space="preserve">1,050.00 </w:t>
        <w:tab/>
        <w:t>1,040.00</w:t>
        <w:tab/>
        <w:t>1030.00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No. 3 60 Ib. Coated/Ton </w:t>
        <w:tab/>
        <w:tab/>
        <w:t xml:space="preserve">935.00 </w:t>
        <w:tab/>
        <w:t>930.00</w:t>
        <w:tab/>
        <w:t>940.00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No. 4 50 Ib. Coated/Ton </w:t>
        <w:tab/>
        <w:tab/>
        <w:t xml:space="preserve">940.00 </w:t>
        <w:tab/>
        <w:t>935.00</w:t>
        <w:tab/>
        <w:t>930.00</w:t>
      </w:r>
    </w:p>
    <w:p>
      <w:pPr>
        <w:pStyle w:val="Heading5"/>
        <w:tabs>
          <w:tab w:val="clear" w:pos="5220"/>
          <w:tab w:val="clear" w:pos="5850"/>
          <w:tab w:val="decimal" w:pos="3600" w:leader="none"/>
          <w:tab w:val="decimal" w:pos="4410" w:leader="none"/>
          <w:tab w:val="decimal" w:pos="5130" w:leader="none"/>
          <w:tab w:val="decimal" w:pos="6300" w:leader="none"/>
        </w:tabs>
        <w:spacing w:before="0" w:after="20"/>
        <w:rPr/>
      </w:pPr>
      <w:r>
        <w:rPr/>
        <w:t xml:space="preserve">35 Ib. SCA </w:t>
        <w:tab/>
        <w:tab/>
        <w:t xml:space="preserve">830.00 </w:t>
        <w:tab/>
        <w:t>825.00</w:t>
        <w:tab/>
        <w:t>825.00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48.8 Gram Newsprint/ Metric Ton (East)</w:t>
        <w:tab/>
        <w:tab/>
        <w:t xml:space="preserve">585.00 </w:t>
        <w:tab/>
        <w:t>585.00</w:t>
        <w:tab/>
        <w:t>550.00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NBSK US </w:t>
        <w:tab/>
        <w:tab/>
        <w:t xml:space="preserve">705.00 </w:t>
        <w:tab/>
        <w:t>620.00</w:t>
        <w:tab/>
        <w:t>670.00</w:t>
      </w:r>
    </w:p>
    <w:p>
      <w:pPr>
        <w:pStyle w:val="Heading2"/>
        <w:tabs>
          <w:tab w:val="clear" w:pos="4950"/>
          <w:tab w:val="clear" w:pos="5850"/>
          <w:tab w:val="decimal" w:pos="3600" w:leader="none"/>
          <w:tab w:val="decimal" w:pos="4410" w:leader="none"/>
          <w:tab w:val="decimal" w:pos="5130" w:leader="none"/>
          <w:tab w:val="decimal" w:pos="6300" w:leader="none"/>
        </w:tabs>
        <w:spacing w:before="0" w:after="20"/>
        <w:ind w:hanging="0" w:start="0" w:end="4680"/>
        <w:rPr/>
      </w:pPr>
      <w:r>
        <w:rPr/>
        <w:t xml:space="preserve">42 Ib. Linerboard PPW East Avg </w:t>
        <w:tab/>
        <w:tab/>
        <w:t>*</w:t>
        <w:tab/>
        <w:t>*</w:t>
        <w:tab/>
        <w:t>460.00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26 lb. Medium PPW East Average</w:t>
        <w:tab/>
        <w:tab/>
        <w:t>*</w:t>
        <w:tab/>
        <w:t>*</w:t>
        <w:tab/>
        <w:t>450.00</w:t>
      </w:r>
    </w:p>
    <w:p>
      <w:pPr>
        <w:pStyle w:val="Normal"/>
        <w:keepLines/>
        <w:tabs>
          <w:tab w:val="clear" w:pos="720"/>
          <w:tab w:val="left" w:pos="4140" w:leader="none"/>
          <w:tab w:val="decimal" w:pos="495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No. 4, 83-85  Xerographic                     </w:t>
        <w:tab/>
        <w:t>850.00     845.00</w:t>
        <w:tab/>
        <w:t>830.00</w:t>
      </w:r>
    </w:p>
    <w:p>
      <w:pPr>
        <w:pStyle w:val="Heading2"/>
        <w:tabs>
          <w:tab w:val="clear" w:pos="4950"/>
          <w:tab w:val="clear" w:pos="5850"/>
          <w:tab w:val="decimal" w:pos="3600" w:leader="none"/>
          <w:tab w:val="decimal" w:pos="4410" w:leader="none"/>
          <w:tab w:val="decimal" w:pos="5130" w:leader="none"/>
          <w:tab w:val="decimal" w:pos="6300" w:leader="none"/>
        </w:tabs>
        <w:spacing w:before="0" w:after="20"/>
        <w:ind w:hanging="0" w:start="0" w:end="4680"/>
        <w:rPr/>
      </w:pPr>
      <w:r>
        <w:rPr/>
        <w:t xml:space="preserve">50 Ib. Offset Rolls </w:t>
        <w:tab/>
        <w:tab/>
        <w:t xml:space="preserve">775.00 </w:t>
        <w:tab/>
        <w:t>770.00</w:t>
        <w:tab/>
        <w:t>745.00</w:t>
      </w:r>
    </w:p>
    <w:p>
      <w:pPr>
        <w:pStyle w:val="Normal"/>
        <w:keepLines/>
        <w:tabs>
          <w:tab w:val="clear" w:pos="720"/>
          <w:tab w:val="left" w:pos="4140" w:leader="none"/>
          <w:tab w:val="decimal" w:pos="495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20 lb Formbond                     </w:t>
        <w:tab/>
        <w:t>755.00     740.00</w:t>
        <w:tab/>
        <w:t>765.00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OCC – RISI </w:t>
        <w:tab/>
        <w:tab/>
        <w:t xml:space="preserve">90.00 </w:t>
        <w:tab/>
        <w:t>85.00</w:t>
        <w:tab/>
        <w:t>114.00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ONP – RISI</w:t>
        <w:tab/>
        <w:tab/>
        <w:t>70.00</w:t>
        <w:tab/>
        <w:t>65.00</w:t>
        <w:tab/>
        <w:t>97.00</w:t>
      </w:r>
    </w:p>
    <w:p>
      <w:pPr>
        <w:pStyle w:val="Normal"/>
        <w:keepLines/>
        <w:tabs>
          <w:tab w:val="clear" w:pos="720"/>
          <w:tab w:val="decimal" w:pos="4680" w:leader="none"/>
          <w:tab w:val="left" w:pos="4770" w:leader="none"/>
          <w:tab w:val="left" w:pos="5490" w:leader="none"/>
          <w:tab w:val="decimal" w:pos="6120" w:leader="none"/>
        </w:tabs>
        <w:suppressAutoHyphens w:val="true"/>
        <w:spacing w:before="0" w:after="20"/>
        <w:ind w:end="4680"/>
        <w:rPr>
          <w:rFonts w:ascii="Arial" w:hAnsi="Arial" w:cs="Arial"/>
          <w:b/>
          <w:i/>
          <w:i/>
          <w:sz w:val="16"/>
        </w:rPr>
      </w:pPr>
      <w:r>
        <w:rPr>
          <w:rFonts w:cs="Arial" w:ascii="Arial" w:hAnsi="Arial"/>
          <w:b/>
          <w:i/>
          <w:sz w:val="16"/>
        </w:rPr>
      </w:r>
    </w:p>
    <w:p>
      <w:pPr>
        <w:pStyle w:val="Normal"/>
        <w:keepLines/>
        <w:tabs>
          <w:tab w:val="clear" w:pos="720"/>
          <w:tab w:val="decimal" w:pos="4950" w:leader="none"/>
          <w:tab w:val="left" w:pos="5130" w:leader="none"/>
          <w:tab w:val="left" w:pos="5490" w:leader="none"/>
          <w:tab w:val="decimal" w:pos="6120" w:leader="none"/>
          <w:tab w:val="left" w:pos="6480" w:leader="none"/>
          <w:tab w:val="left" w:pos="6660" w:leader="none"/>
        </w:tabs>
        <w:suppressAutoHyphens w:val="true"/>
        <w:spacing w:before="0" w:after="20"/>
        <w:ind w:end="4680"/>
        <w:rPr>
          <w:rFonts w:ascii="Arial" w:hAnsi="Arial" w:cs="Arial"/>
          <w:b/>
          <w:i/>
          <w:i/>
          <w:sz w:val="16"/>
        </w:rPr>
      </w:pPr>
      <w:r>
        <w:rPr>
          <w:rFonts w:cs="Arial" w:ascii="Arial" w:hAnsi="Arial"/>
          <w:b/>
          <w:i/>
          <w:sz w:val="16"/>
        </w:rPr>
        <w:t>Enron’s Offer Prices for Pulp, Paper and Packaging</w:t>
      </w:r>
      <w:r>
        <w:rPr>
          <w:rFonts w:cs="Arial" w:ascii="Arial" w:hAnsi="Arial"/>
          <w:b/>
          <w:sz w:val="16"/>
        </w:rPr>
        <w:tab/>
        <w:t xml:space="preserve"> </w:t>
      </w:r>
      <w:r>
        <w:rPr>
          <w:rFonts w:cs="Arial" w:ascii="Arial" w:hAnsi="Arial"/>
          <w:b/>
          <w:i/>
          <w:sz w:val="16"/>
          <w:u w:val="single"/>
        </w:rPr>
        <w:t>Offer</w:t>
      </w:r>
      <w:r>
        <w:rPr>
          <w:rFonts w:cs="Arial" w:ascii="Arial" w:hAnsi="Arial"/>
          <w:b/>
          <w:sz w:val="16"/>
        </w:rPr>
        <w:tab/>
      </w:r>
    </w:p>
    <w:p>
      <w:pPr>
        <w:pStyle w:val="Normal"/>
        <w:keepLines/>
        <w:tabs>
          <w:tab w:val="clear" w:pos="720"/>
          <w:tab w:val="right" w:pos="3870" w:leader="none"/>
          <w:tab w:val="left" w:pos="4050" w:leader="none"/>
          <w:tab w:val="left" w:pos="5400" w:leader="none"/>
          <w:tab w:val="left" w:pos="5436" w:leader="none"/>
          <w:tab w:val="left" w:pos="7470" w:leader="none"/>
        </w:tabs>
        <w:suppressAutoHyphens w:val="true"/>
        <w:spacing w:before="0" w:after="20"/>
        <w:ind w:end="3870"/>
        <w:rPr>
          <w:rFonts w:ascii="Arial" w:hAnsi="Arial" w:cs="Arial"/>
          <w:b/>
          <w:i/>
          <w:i/>
          <w:sz w:val="16"/>
        </w:rPr>
      </w:pPr>
      <w:r>
        <w:rPr>
          <w:rFonts w:cs="Arial" w:ascii="Arial" w:hAnsi="Arial"/>
          <w:b/>
          <w:i/>
          <w:sz w:val="16"/>
        </w:rPr>
        <w:tab/>
        <w:tab/>
        <w:t xml:space="preserve">  </w:t>
      </w:r>
      <w:r>
        <w:rPr>
          <w:rFonts w:cs="Arial" w:ascii="Arial" w:hAnsi="Arial"/>
          <w:b/>
          <w:i/>
          <w:sz w:val="16"/>
          <w:u w:val="single"/>
        </w:rPr>
        <w:t>3 Year</w:t>
      </w:r>
      <w:r>
        <w:rPr>
          <w:rFonts w:cs="Arial" w:ascii="Arial" w:hAnsi="Arial"/>
          <w:b/>
          <w:i/>
          <w:sz w:val="16"/>
        </w:rPr>
        <w:t xml:space="preserve">     </w:t>
      </w:r>
      <w:r>
        <w:rPr>
          <w:rFonts w:cs="Arial" w:ascii="Arial" w:hAnsi="Arial"/>
          <w:b/>
          <w:i/>
          <w:sz w:val="16"/>
          <w:u w:val="single"/>
        </w:rPr>
        <w:t>5 Year</w:t>
      </w:r>
      <w:r>
        <w:rPr>
          <w:rFonts w:cs="Arial" w:ascii="Arial" w:hAnsi="Arial"/>
          <w:b/>
          <w:i/>
          <w:sz w:val="16"/>
        </w:rPr>
        <w:tab/>
        <w:tab/>
      </w:r>
      <w:r>
        <w:rPr>
          <w:rFonts w:cs="Arial" w:ascii="Arial" w:hAnsi="Arial"/>
          <w:b/>
          <w:i/>
          <w:sz w:val="16"/>
          <w:u w:val="single"/>
        </w:rPr>
        <w:t>Current RISI Index</w:t>
      </w:r>
    </w:p>
    <w:p>
      <w:pPr>
        <w:pStyle w:val="Heading2"/>
        <w:tabs>
          <w:tab w:val="clear" w:pos="4950"/>
          <w:tab w:val="clear" w:pos="5850"/>
          <w:tab w:val="decimal" w:pos="3600" w:leader="none"/>
          <w:tab w:val="decimal" w:pos="4410" w:leader="none"/>
          <w:tab w:val="decimal" w:pos="5130" w:leader="none"/>
          <w:tab w:val="decimal" w:pos="5220" w:leader="none"/>
          <w:tab w:val="decimal" w:pos="6300" w:leader="none"/>
        </w:tabs>
        <w:spacing w:before="0" w:after="20"/>
        <w:ind w:hanging="0" w:start="0" w:end="4680"/>
        <w:rPr/>
      </w:pPr>
      <w:r>
        <w:rPr/>
        <w:t xml:space="preserve">No. 5 40 lb. Coated/Ton </w:t>
        <w:tab/>
        <w:tab/>
        <w:t>910.00</w:t>
        <w:tab/>
        <w:t>900.00</w:t>
        <w:tab/>
        <w:t>875.00</w:t>
        <w:tab/>
      </w:r>
    </w:p>
    <w:p>
      <w:pPr>
        <w:pStyle w:val="Heading5"/>
        <w:tabs>
          <w:tab w:val="clear" w:pos="5850"/>
          <w:tab w:val="decimal" w:pos="3600" w:leader="none"/>
          <w:tab w:val="decimal" w:pos="4410" w:leader="none"/>
          <w:tab w:val="decimal" w:pos="5130" w:leader="none"/>
          <w:tab w:val="decimal" w:pos="5220" w:leader="none"/>
          <w:tab w:val="decimal" w:pos="6300" w:leader="none"/>
        </w:tabs>
        <w:spacing w:before="0" w:after="20"/>
        <w:rPr/>
      </w:pPr>
      <w:r>
        <w:rPr/>
        <w:t xml:space="preserve">No. 5 34 Ib. Coated/Ton </w:t>
        <w:tab/>
        <w:tab/>
        <w:t>1,080.00</w:t>
        <w:tab/>
        <w:t>1,070.00</w:t>
        <w:tab/>
        <w:t>1030.00</w:t>
      </w:r>
    </w:p>
    <w:p>
      <w:pPr>
        <w:pStyle w:val="Heading5"/>
        <w:tabs>
          <w:tab w:val="clear" w:pos="5850"/>
          <w:tab w:val="decimal" w:pos="3600" w:leader="none"/>
          <w:tab w:val="decimal" w:pos="4410" w:leader="none"/>
          <w:tab w:val="decimal" w:pos="5130" w:leader="none"/>
          <w:tab w:val="decimal" w:pos="5220" w:leader="none"/>
          <w:tab w:val="decimal" w:pos="6300" w:leader="none"/>
        </w:tabs>
        <w:spacing w:before="0" w:after="20"/>
        <w:rPr/>
      </w:pPr>
      <w:r>
        <w:rPr/>
        <w:t xml:space="preserve">No. 3 60 Ib. Coated/Ton </w:t>
        <w:tab/>
        <w:tab/>
        <w:t>965.00</w:t>
        <w:tab/>
        <w:t>960.00</w:t>
        <w:tab/>
        <w:t>940.00</w:t>
      </w:r>
    </w:p>
    <w:p>
      <w:pPr>
        <w:pStyle w:val="Heading5"/>
        <w:tabs>
          <w:tab w:val="clear" w:pos="5850"/>
          <w:tab w:val="decimal" w:pos="3600" w:leader="none"/>
          <w:tab w:val="decimal" w:pos="4410" w:leader="none"/>
          <w:tab w:val="decimal" w:pos="5130" w:leader="none"/>
          <w:tab w:val="decimal" w:pos="5220" w:leader="none"/>
          <w:tab w:val="decimal" w:pos="6300" w:leader="none"/>
        </w:tabs>
        <w:spacing w:before="0" w:after="20"/>
        <w:rPr/>
      </w:pPr>
      <w:r>
        <w:rPr/>
        <w:t xml:space="preserve">No. 4 50 Ib. Coated/Ton </w:t>
        <w:tab/>
        <w:tab/>
        <w:t>970.00</w:t>
        <w:tab/>
        <w:t>965.00</w:t>
        <w:tab/>
        <w:t>930.00</w:t>
      </w:r>
    </w:p>
    <w:p>
      <w:pPr>
        <w:pStyle w:val="Heading5"/>
        <w:tabs>
          <w:tab w:val="clear" w:pos="5850"/>
          <w:tab w:val="decimal" w:pos="3600" w:leader="none"/>
          <w:tab w:val="decimal" w:pos="4410" w:leader="none"/>
          <w:tab w:val="decimal" w:pos="5130" w:leader="none"/>
          <w:tab w:val="decimal" w:pos="5220" w:leader="none"/>
          <w:tab w:val="decimal" w:pos="6300" w:leader="none"/>
        </w:tabs>
        <w:spacing w:before="0" w:after="20"/>
        <w:rPr/>
      </w:pPr>
      <w:r>
        <w:rPr/>
        <w:t xml:space="preserve">35 Ib. SCA </w:t>
        <w:tab/>
        <w:tab/>
        <w:t>865.00</w:t>
        <w:tab/>
        <w:t>860.00</w:t>
        <w:tab/>
        <w:t>825.00</w:t>
      </w:r>
    </w:p>
    <w:p>
      <w:pPr>
        <w:pStyle w:val="Normal"/>
        <w:keepLines/>
        <w:tabs>
          <w:tab w:val="clear" w:pos="720"/>
          <w:tab w:val="decimal" w:pos="3600" w:leader="none"/>
          <w:tab w:val="decimal" w:pos="4410" w:leader="none"/>
          <w:tab w:val="decimal" w:pos="5130" w:leader="none"/>
          <w:tab w:val="decimal" w:pos="5220" w:leader="none"/>
          <w:tab w:val="decimal" w:pos="6300" w:leader="none"/>
        </w:tabs>
        <w:suppressAutoHyphens w:val="true"/>
        <w:spacing w:before="0" w:after="20"/>
        <w:ind w:end="4680"/>
        <w:rPr>
          <w:rFonts w:ascii="Arial" w:hAnsi="Arial" w:cs="Arial"/>
          <w:b/>
          <w:sz w:val="16"/>
        </w:rPr>
      </w:pPr>
      <w:r>
        <w:rPr>
          <w:rFonts w:cs="Arial" w:ascii="Arial" w:hAnsi="Arial"/>
          <w:b/>
          <w:sz w:val="16"/>
        </w:rPr>
        <w:t>48.8 Gram Newsprint/ Metric Ton (East)</w:t>
        <w:tab/>
        <w:tab/>
        <w:t>615.00</w:t>
        <w:tab/>
        <w:t>615.00</w:t>
        <w:tab/>
        <w:t>550.00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NBSK US </w:t>
        <w:tab/>
        <w:tab/>
        <w:t xml:space="preserve">725.00 </w:t>
        <w:tab/>
        <w:t>650.00</w:t>
        <w:tab/>
        <w:t>670.00</w:t>
      </w:r>
    </w:p>
    <w:p>
      <w:pPr>
        <w:pStyle w:val="Heading2"/>
        <w:tabs>
          <w:tab w:val="clear" w:pos="4950"/>
          <w:tab w:val="clear" w:pos="5850"/>
          <w:tab w:val="decimal" w:pos="3600" w:leader="none"/>
          <w:tab w:val="decimal" w:pos="4410" w:leader="none"/>
          <w:tab w:val="decimal" w:pos="5130" w:leader="none"/>
          <w:tab w:val="decimal" w:pos="6300" w:leader="none"/>
        </w:tabs>
        <w:spacing w:before="0" w:after="20"/>
        <w:ind w:hanging="0" w:start="0" w:end="4680"/>
        <w:rPr/>
      </w:pPr>
      <w:r>
        <w:rPr/>
        <w:t xml:space="preserve">42 Ib. Linerboard PPW East Avg </w:t>
        <w:tab/>
        <w:tab/>
        <w:t>*</w:t>
        <w:tab/>
        <w:t xml:space="preserve">* </w:t>
        <w:tab/>
        <w:t>460.00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26 lb. Medium PPW East Average</w:t>
        <w:tab/>
        <w:tab/>
        <w:t>*</w:t>
        <w:tab/>
        <w:t xml:space="preserve">* </w:t>
        <w:tab/>
        <w:t>450.00</w:t>
      </w:r>
    </w:p>
    <w:p>
      <w:pPr>
        <w:pStyle w:val="Normal"/>
        <w:keepLines/>
        <w:tabs>
          <w:tab w:val="clear" w:pos="720"/>
          <w:tab w:val="left" w:pos="4140" w:leader="none"/>
          <w:tab w:val="decimal" w:pos="495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No. 4, 83-85  Xerographic                     </w:t>
        <w:tab/>
        <w:t>890.00     885.00</w:t>
        <w:tab/>
        <w:t>830.00</w:t>
      </w:r>
    </w:p>
    <w:p>
      <w:pPr>
        <w:pStyle w:val="Heading2"/>
        <w:tabs>
          <w:tab w:val="clear" w:pos="4950"/>
          <w:tab w:val="clear" w:pos="5850"/>
          <w:tab w:val="decimal" w:pos="3600" w:leader="none"/>
          <w:tab w:val="decimal" w:pos="4410" w:leader="none"/>
          <w:tab w:val="decimal" w:pos="5130" w:leader="none"/>
          <w:tab w:val="decimal" w:pos="6300" w:leader="none"/>
        </w:tabs>
        <w:spacing w:before="0" w:after="20"/>
        <w:ind w:hanging="0" w:start="0" w:end="4680"/>
        <w:rPr/>
      </w:pPr>
      <w:r>
        <w:rPr/>
        <w:t xml:space="preserve">50 Ib. Offset Rolls </w:t>
        <w:tab/>
        <w:tab/>
        <w:t xml:space="preserve">810.00 </w:t>
        <w:tab/>
        <w:t>805.00</w:t>
        <w:tab/>
        <w:t>745.00</w:t>
      </w:r>
    </w:p>
    <w:p>
      <w:pPr>
        <w:pStyle w:val="Normal"/>
        <w:keepLines/>
        <w:tabs>
          <w:tab w:val="clear" w:pos="720"/>
          <w:tab w:val="left" w:pos="4140" w:leader="none"/>
          <w:tab w:val="decimal" w:pos="495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20 lb Formbond                     </w:t>
        <w:tab/>
        <w:t>795.00     790.00</w:t>
        <w:tab/>
        <w:t>765.00</w:t>
      </w:r>
    </w:p>
    <w:p>
      <w:pPr>
        <w:pStyle w:val="Normal"/>
        <w:keepLines/>
        <w:tabs>
          <w:tab w:val="clear" w:pos="720"/>
          <w:tab w:val="decimal" w:pos="3600" w:leader="none"/>
          <w:tab w:val="decimal" w:pos="4410" w:leader="none"/>
          <w:tab w:val="decimal" w:pos="5130" w:leader="none"/>
          <w:tab w:val="decimal" w:pos="6300" w:leader="none"/>
        </w:tabs>
        <w:suppressAutoHyphens w:val="true"/>
        <w:spacing w:before="0" w:after="20"/>
        <w:ind w:end="4680"/>
        <w:rPr>
          <w:rFonts w:ascii="Arial" w:hAnsi="Arial" w:cs="Arial"/>
          <w:b/>
          <w:sz w:val="16"/>
        </w:rPr>
      </w:pPr>
      <w:r>
        <w:rPr>
          <w:rFonts w:cs="Arial" w:ascii="Arial" w:hAnsi="Arial"/>
          <w:b/>
          <w:sz w:val="16"/>
        </w:rPr>
        <w:t xml:space="preserve">OCC – RISI </w:t>
        <w:tab/>
        <w:tab/>
        <w:t xml:space="preserve">110.00 </w:t>
        <w:tab/>
        <w:t>105.00</w:t>
        <w:tab/>
        <w:t>114.00</w:t>
      </w:r>
    </w:p>
    <w:p>
      <w:pPr>
        <w:pStyle w:val="Heading5"/>
        <w:tabs>
          <w:tab w:val="clear" w:pos="5220"/>
          <w:tab w:val="clear" w:pos="5850"/>
          <w:tab w:val="decimal" w:pos="3600" w:leader="none"/>
          <w:tab w:val="decimal" w:pos="4410" w:leader="none"/>
          <w:tab w:val="decimal" w:pos="5130" w:leader="none"/>
          <w:tab w:val="decimal" w:pos="6300" w:leader="none"/>
        </w:tabs>
        <w:rPr/>
      </w:pPr>
      <w:r>
        <w:rPr/>
        <w:t xml:space="preserve">ONP – RISI </w:t>
        <w:tab/>
        <w:tab/>
        <w:t xml:space="preserve">90.00 </w:t>
        <w:tab/>
        <w:t>85.00</w:t>
        <w:tab/>
        <w:t>97.00</w:t>
      </w:r>
    </w:p>
    <w:p>
      <w:pPr>
        <w:pStyle w:val="Normal"/>
        <w:keepLines/>
        <w:suppressAutoHyphens w:val="true"/>
        <w:spacing w:before="60" w:after="0"/>
        <w:ind w:end="4680"/>
        <w:rPr>
          <w:rFonts w:ascii="Arial" w:hAnsi="Arial" w:cs="Arial"/>
          <w:sz w:val="16"/>
        </w:rPr>
      </w:pPr>
      <w:r>
        <w:rPr>
          <w:rFonts w:cs="Arial" w:ascii="Arial" w:hAnsi="Arial"/>
          <w:sz w:val="16"/>
        </w:rPr>
        <w:t>*Call for most recent quotes</w:t>
      </w:r>
    </w:p>
    <w:p>
      <w:pPr>
        <w:pStyle w:val="Normal"/>
        <w:suppressAutoHyphens w:val="true"/>
        <w:spacing w:before="60" w:after="0"/>
        <w:ind w:end="4320"/>
        <w:jc w:val="both"/>
        <w:rPr/>
      </w:pPr>
      <w:r>
        <w:rPr>
          <w:rFonts w:cs="HELVETICA" w:ascii="HELVETICA" w:hAnsi="HELVETICA"/>
          <w:b/>
          <w:sz w:val="16"/>
        </w:rPr>
        <w:t>Clarification to Index pricing:</w:t>
      </w:r>
      <w:r>
        <w:rPr>
          <w:rFonts w:cs="HELVETICA" w:ascii="HELVETICA" w:hAnsi="HELVETICA"/>
          <w:sz w:val="16"/>
        </w:rPr>
        <w:t xml:space="preserve"> Please remember that the financial hedge price should be compared to the RISI index only, not the physical price you pay or receive.  If you typically receive a $40 discount, simply subtract $40 from Enron’s financial offer.  This will allow you to compare your current physical price to the financial price at which you could hedge against future price increases.</w:t>
      </w:r>
    </w:p>
    <w:p>
      <w:pPr>
        <w:pStyle w:val="Heading1"/>
        <w:spacing w:before="60" w:after="0"/>
        <w:ind w:hanging="0" w:start="0" w:end="4680"/>
        <w:rPr>
          <w:sz w:val="16"/>
          <w:u w:val="single"/>
        </w:rPr>
      </w:pPr>
      <w:r>
        <w:rPr>
          <w:sz w:val="16"/>
          <w:u w:val="single"/>
        </w:rPr>
        <w:t xml:space="preserve">Our Goal: </w:t>
      </w:r>
    </w:p>
    <w:p>
      <w:pPr>
        <w:pStyle w:val="Heading1"/>
        <w:spacing w:before="60" w:after="60"/>
        <w:ind w:hanging="0" w:start="0" w:end="4680"/>
        <w:rPr>
          <w:sz w:val="16"/>
        </w:rPr>
      </w:pPr>
      <w:r>
        <w:rPr>
          <w:sz w:val="16"/>
        </w:rPr>
        <w:t>To Become the Leading Provider of Physical and Financial Risk Management Services to the Pulp, Packaging and Paper Industry</w:t>
      </w:r>
    </w:p>
    <w:p>
      <w:pPr>
        <w:pStyle w:val="Normal"/>
        <w:keepLines/>
        <w:suppressAutoHyphens w:val="true"/>
        <w:ind w:end="2160"/>
        <w:rPr/>
      </w:pPr>
      <w:r>
        <w:rPr>
          <w:rFonts w:cs="Arial" w:ascii="Arial" w:hAnsi="Arial"/>
          <w:sz w:val="16"/>
        </w:rPr>
        <w:t>For general &amp; contracting information please contact (U.S.):</w:t>
      </w:r>
    </w:p>
    <w:p>
      <w:pPr>
        <w:pStyle w:val="Normal"/>
        <w:keepLines/>
        <w:tabs>
          <w:tab w:val="clear" w:pos="720"/>
          <w:tab w:val="center" w:pos="2250" w:leader="none"/>
          <w:tab w:val="center" w:pos="3690" w:leader="none"/>
          <w:tab w:val="center" w:pos="5580" w:leader="none"/>
        </w:tabs>
        <w:suppressAutoHyphens w:val="true"/>
        <w:spacing w:before="120" w:after="0"/>
        <w:ind w:end="4680"/>
        <w:rPr>
          <w:rFonts w:ascii="Arial" w:hAnsi="Arial" w:cs="Arial"/>
          <w:b/>
          <w:sz w:val="16"/>
        </w:rPr>
      </w:pPr>
      <w:r>
        <w:rPr>
          <w:rFonts w:cs="Arial Narrow" w:ascii="Arial Narrow" w:hAnsi="Arial Narrow"/>
          <w:sz w:val="16"/>
        </w:rPr>
        <w:tab/>
      </w:r>
      <w:r>
        <w:rPr>
          <w:rFonts w:cs="Arial" w:ascii="Arial" w:hAnsi="Arial"/>
          <w:b/>
          <w:sz w:val="16"/>
          <w:u w:val="single"/>
        </w:rPr>
        <w:t>Voice</w:t>
      </w:r>
      <w:r>
        <w:rPr>
          <w:rFonts w:cs="Arial" w:ascii="Arial" w:hAnsi="Arial"/>
          <w:b/>
          <w:sz w:val="16"/>
        </w:rPr>
        <w:tab/>
      </w:r>
      <w:r>
        <w:rPr>
          <w:rFonts w:cs="Arial" w:ascii="Arial" w:hAnsi="Arial"/>
          <w:b/>
          <w:sz w:val="16"/>
          <w:u w:val="single"/>
        </w:rPr>
        <w:t>Fax</w:t>
      </w:r>
      <w:r>
        <w:rPr>
          <w:rFonts w:cs="Arial" w:ascii="Arial" w:hAnsi="Arial"/>
          <w:b/>
          <w:sz w:val="16"/>
        </w:rPr>
        <w:tab/>
      </w:r>
      <w:r>
        <w:rPr>
          <w:rFonts w:cs="Arial" w:ascii="Arial" w:hAnsi="Arial"/>
          <w:b/>
          <w:sz w:val="16"/>
          <w:u w:val="single"/>
        </w:rPr>
        <w:t>Internet Address</w:t>
      </w:r>
    </w:p>
    <w:p>
      <w:pPr>
        <w:pStyle w:val="Normal"/>
        <w:keepLines/>
        <w:tabs>
          <w:tab w:val="clear" w:pos="720"/>
          <w:tab w:val="right" w:pos="2700" w:leader="none"/>
          <w:tab w:val="right" w:pos="4140" w:leader="none"/>
          <w:tab w:val="right" w:pos="6300" w:leader="none"/>
        </w:tabs>
        <w:suppressAutoHyphens w:val="true"/>
        <w:ind w:end="4680"/>
        <w:rPr>
          <w:rFonts w:ascii="Arial Narrow" w:hAnsi="Arial Narrow" w:cs="Arial Narrow"/>
          <w:sz w:val="16"/>
        </w:rPr>
      </w:pPr>
      <w:r>
        <w:rPr>
          <w:rFonts w:cs="Arial Narrow" w:ascii="Arial Narrow" w:hAnsi="Arial Narrow"/>
          <w:sz w:val="16"/>
        </w:rPr>
        <w:t>Bryan Burnett</w:t>
        <w:tab/>
        <w:t>713-853-7766</w:t>
        <w:tab/>
        <w:t>713-646-3253</w:t>
        <w:tab/>
        <w:t>bryan.burnet@enron.com</w:t>
      </w:r>
    </w:p>
    <w:p>
      <w:pPr>
        <w:pStyle w:val="Normal"/>
        <w:keepLines/>
        <w:tabs>
          <w:tab w:val="clear" w:pos="720"/>
          <w:tab w:val="right" w:pos="2700" w:leader="none"/>
          <w:tab w:val="right" w:pos="4140" w:leader="none"/>
          <w:tab w:val="right" w:pos="6300" w:leader="none"/>
        </w:tabs>
        <w:suppressAutoHyphens w:val="true"/>
        <w:ind w:end="4680"/>
        <w:rPr>
          <w:rFonts w:ascii="Arial Narrow" w:hAnsi="Arial Narrow" w:cs="Arial Narrow"/>
          <w:sz w:val="16"/>
        </w:rPr>
      </w:pPr>
      <w:r>
        <w:rPr>
          <w:rFonts w:cs="Arial Narrow" w:ascii="Arial Narrow" w:hAnsi="Arial Narrow"/>
          <w:sz w:val="16"/>
        </w:rPr>
        <w:t>Bob Crane</w:t>
        <w:tab/>
        <w:t>713-853-0638</w:t>
        <w:tab/>
        <w:t>713-646-3253</w:t>
        <w:tab/>
        <w:t>bob.crane@enron.com</w:t>
      </w:r>
    </w:p>
    <w:p>
      <w:pPr>
        <w:pStyle w:val="Normal"/>
        <w:keepLines/>
        <w:tabs>
          <w:tab w:val="clear" w:pos="720"/>
          <w:tab w:val="right" w:pos="2700" w:leader="none"/>
          <w:tab w:val="right" w:pos="4140" w:leader="none"/>
          <w:tab w:val="right" w:pos="6300" w:leader="none"/>
        </w:tabs>
        <w:suppressAutoHyphens w:val="true"/>
        <w:ind w:end="4680"/>
        <w:rPr>
          <w:rFonts w:ascii="Arial Narrow" w:hAnsi="Arial Narrow" w:cs="Arial Narrow"/>
          <w:sz w:val="16"/>
        </w:rPr>
      </w:pPr>
      <w:r>
        <w:rPr>
          <w:rFonts w:cs="Arial Narrow" w:ascii="Arial Narrow" w:hAnsi="Arial Narrow"/>
          <w:sz w:val="16"/>
        </w:rPr>
        <w:t>Edward Ondarza</w:t>
        <w:tab/>
        <w:t>713-853-6058</w:t>
        <w:tab/>
        <w:t>713-646-3253</w:t>
        <w:tab/>
        <w:t>edward.ondarza@enron.com</w:t>
      </w:r>
    </w:p>
    <w:p>
      <w:pPr>
        <w:pStyle w:val="Normal"/>
        <w:keepLines/>
        <w:tabs>
          <w:tab w:val="clear" w:pos="720"/>
          <w:tab w:val="right" w:pos="2700" w:leader="none"/>
          <w:tab w:val="right" w:pos="4140" w:leader="none"/>
          <w:tab w:val="right" w:pos="6300" w:leader="none"/>
        </w:tabs>
        <w:suppressAutoHyphens w:val="true"/>
        <w:ind w:end="4680"/>
        <w:rPr>
          <w:rFonts w:ascii="Arial Narrow" w:hAnsi="Arial Narrow" w:cs="Arial Narrow"/>
          <w:sz w:val="16"/>
        </w:rPr>
      </w:pPr>
      <w:r>
        <w:rPr>
          <w:rFonts w:cs="Arial Narrow" w:ascii="Arial Narrow" w:hAnsi="Arial Narrow"/>
          <w:sz w:val="16"/>
        </w:rPr>
        <w:br/>
        <w:t>The views herein are incidental to the business of Enron Capital and Trade Resources and its affiliates which are engaged in swaps, forwards options, cash transactions for their own accounting commodities.  The prices and market for such products are affected by a variety of circumstances including the trading activities of market participants.  Enron Capital &amp; Trade Resources assumes no responsibility or liability for the accuracy or completeness of the pricing information herein.  The views herein are not intended to provide advice or recommendations and the customer accepts sole responsibility for its decisions to enter into any transactions with Enron Capital &amp; Trade Resources or its affiliates.  Views expressed are subject to change without notice.</w:t>
      </w:r>
    </w:p>
    <w:sectPr>
      <w:type w:val="continuous"/>
      <w:pgSz w:w="12240" w:h="15840"/>
      <w:pgMar w:left="720" w:right="720" w:gutter="0" w:header="0" w:top="619" w:footer="0" w:bottom="61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w:hAnsi="TIMES" w:eastAsia="Times New Roman" w:cs="TIMES"/>
      <w:color w:val="auto"/>
      <w:sz w:val="24"/>
      <w:szCs w:val="20"/>
      <w:lang w:val="en-US" w:eastAsia="zh-CN" w:bidi="hi-IN"/>
    </w:rPr>
  </w:style>
  <w:style w:type="paragraph" w:styleId="Heading1">
    <w:name w:val="heading 1"/>
    <w:basedOn w:val="Normal"/>
    <w:next w:val="Normal"/>
    <w:qFormat/>
    <w:pPr>
      <w:keepNext w:val="true"/>
      <w:keepLines/>
      <w:numPr>
        <w:ilvl w:val="0"/>
        <w:numId w:val="1"/>
      </w:numPr>
      <w:suppressAutoHyphens w:val="true"/>
      <w:jc w:val="center"/>
      <w:outlineLvl w:val="0"/>
    </w:pPr>
    <w:rPr>
      <w:rFonts w:ascii="Arial" w:hAnsi="Arial" w:cs="Arial"/>
      <w:b/>
      <w:i/>
      <w:sz w:val="20"/>
    </w:rPr>
  </w:style>
  <w:style w:type="paragraph" w:styleId="Heading2">
    <w:name w:val="heading 2"/>
    <w:basedOn w:val="Normal"/>
    <w:next w:val="Normal"/>
    <w:qFormat/>
    <w:pPr>
      <w:keepNext w:val="true"/>
      <w:keepLines/>
      <w:numPr>
        <w:ilvl w:val="1"/>
        <w:numId w:val="1"/>
      </w:numPr>
      <w:tabs>
        <w:tab w:val="clear" w:pos="720"/>
        <w:tab w:val="decimal" w:pos="4950" w:leader="none"/>
        <w:tab w:val="decimal" w:pos="5850" w:leader="none"/>
      </w:tabs>
      <w:suppressAutoHyphens w:val="true"/>
      <w:spacing w:before="0" w:after="40"/>
      <w:outlineLvl w:val="1"/>
    </w:pPr>
    <w:rPr>
      <w:rFonts w:ascii="Arial" w:hAnsi="Arial" w:cs="Arial"/>
      <w:b/>
      <w:sz w:val="16"/>
    </w:rPr>
  </w:style>
  <w:style w:type="paragraph" w:styleId="Heading3">
    <w:name w:val="heading 3"/>
    <w:basedOn w:val="Normal"/>
    <w:next w:val="Normal"/>
    <w:qFormat/>
    <w:pPr>
      <w:keepNext w:val="true"/>
      <w:numPr>
        <w:ilvl w:val="2"/>
        <w:numId w:val="1"/>
      </w:numPr>
      <w:suppressAutoHyphens w:val="true"/>
      <w:spacing w:lineRule="exact" w:line="360"/>
      <w:outlineLvl w:val="2"/>
    </w:pPr>
    <w:rPr>
      <w:rFonts w:ascii="Arial" w:hAnsi="Arial" w:cs="Arial"/>
      <w:b/>
      <w:sz w:val="30"/>
    </w:rPr>
  </w:style>
  <w:style w:type="paragraph" w:styleId="Heading4">
    <w:name w:val="heading 4"/>
    <w:basedOn w:val="Normal"/>
    <w:next w:val="Normal"/>
    <w:qFormat/>
    <w:pPr>
      <w:keepNext w:val="true"/>
      <w:numPr>
        <w:ilvl w:val="3"/>
        <w:numId w:val="1"/>
      </w:numPr>
      <w:jc w:val="both"/>
      <w:outlineLvl w:val="3"/>
    </w:pPr>
    <w:rPr>
      <w:rFonts w:ascii="HELVETICA" w:hAnsi="HELVETICA" w:cs="HELVETICA"/>
      <w:b/>
    </w:rPr>
  </w:style>
  <w:style w:type="paragraph" w:styleId="Heading5">
    <w:name w:val="heading 5"/>
    <w:basedOn w:val="Normal"/>
    <w:next w:val="Normal"/>
    <w:qFormat/>
    <w:pPr>
      <w:keepNext w:val="true"/>
      <w:keepLines/>
      <w:numPr>
        <w:ilvl w:val="4"/>
        <w:numId w:val="1"/>
      </w:numPr>
      <w:tabs>
        <w:tab w:val="clear" w:pos="720"/>
        <w:tab w:val="decimal" w:pos="3600" w:leader="none"/>
        <w:tab w:val="decimal" w:pos="4410" w:leader="none"/>
        <w:tab w:val="decimal" w:pos="5130" w:leader="none"/>
        <w:tab w:val="decimal" w:pos="5220" w:leader="none"/>
        <w:tab w:val="decimal" w:pos="5850" w:leader="none"/>
      </w:tabs>
      <w:suppressAutoHyphens w:val="true"/>
      <w:spacing w:before="0" w:after="40"/>
      <w:ind w:hanging="0" w:start="0" w:end="4680"/>
      <w:outlineLvl w:val="4"/>
    </w:pPr>
    <w:rPr>
      <w:rFonts w:ascii="Arial" w:hAnsi="Arial" w:cs="Arial"/>
      <w:b/>
      <w:sz w:val="16"/>
    </w:rPr>
  </w:style>
  <w:style w:type="character" w:styleId="WW8Num1z0">
    <w:name w:val="WW8Num1z0"/>
    <w:qFormat/>
    <w:rPr>
      <w:rFonts w:ascii="Symbol" w:hAnsi="Symbol" w:cs="Symbol"/>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ind w:hanging="0" w:start="0" w:end="234"/>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uppressAutoHyphens w:val="true"/>
      <w:spacing w:lineRule="exact" w:line="400"/>
    </w:pPr>
    <w:rPr>
      <w:rFonts w:ascii="Arial" w:hAnsi="Arial" w:cs="Arial"/>
      <w:b/>
      <w:sz w:val="36"/>
    </w:rPr>
  </w:style>
  <w:style w:type="paragraph" w:styleId="BodyText3">
    <w:name w:val="Body Text 3"/>
    <w:basedOn w:val="Normal"/>
    <w:qFormat/>
    <w:pPr>
      <w:widowControl w:val="false"/>
      <w:suppressAutoHyphens w:val="true"/>
      <w:spacing w:lineRule="exact" w:line="280"/>
      <w:jc w:val="both"/>
    </w:pPr>
    <w:rPr>
      <w:rFonts w:ascii="Arial" w:hAnsi="Arial" w:cs="Arial"/>
      <w:sz w:val="20"/>
    </w:rPr>
  </w:style>
  <w:style w:type="paragraph" w:styleId="BodyTextIndent">
    <w:name w:val="Body Text Indent"/>
    <w:basedOn w:val="Normal"/>
    <w:pPr>
      <w:tabs>
        <w:tab w:val="clear" w:pos="720"/>
        <w:tab w:val="left" w:pos="3240" w:leader="none"/>
      </w:tabs>
      <w:spacing w:lineRule="exact" w:line="300"/>
      <w:ind w:hanging="86" w:start="-101" w:end="0"/>
      <w:jc w:val="both"/>
    </w:pPr>
    <w:rPr>
      <w:rFonts w:ascii="Arial" w:hAnsi="Arial" w:cs="Arial"/>
      <w:color w:val="000000"/>
      <w:sz w:val="22"/>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2000-05-22T18:02:00Z</dcterms:created>
  <dc:creator>Selena Khan</dc:creator>
  <dc:description/>
  <dc:language>en-CA</dc:language>
  <cp:lastModifiedBy>vlopez</cp:lastModifiedBy>
  <cp:lastPrinted>2000-05-08T07:52:00Z</cp:lastPrinted>
  <dcterms:modified xsi:type="dcterms:W3CDTF">2000-05-22T18:02:00Z</dcterms:modified>
  <cp:revision>2</cp:revision>
  <dc:subject/>
  <dc:title> 1400 Smith Street, Houston, Texas 77002</dc:title>
</cp:coreProperties>
</file>