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08" w:type="dxa"/>
        <w:jc w:val="start"/>
        <w:tblInd w:w="0" w:type="dxa"/>
        <w:tblLayout w:type="fixed"/>
        <w:tblCellMar>
          <w:top w:w="0" w:type="dxa"/>
          <w:start w:w="108" w:type="dxa"/>
          <w:bottom w:w="0" w:type="dxa"/>
          <w:end w:w="108" w:type="dxa"/>
        </w:tblCellMar>
      </w:tblPr>
      <w:tblGrid>
        <w:gridCol w:w="8838"/>
        <w:gridCol w:w="270"/>
      </w:tblGrid>
      <w:tr>
        <w:trPr/>
        <w:tc>
          <w:tcPr>
            <w:tcW w:w="8838" w:type="dxa"/>
            <w:tcBorders/>
          </w:tcPr>
          <w:p>
            <w:pPr>
              <w:pStyle w:val="Heading1"/>
              <w:spacing w:before="120" w:after="0"/>
              <w:ind w:hanging="0" w:start="0"/>
              <w:rPr/>
            </w:pPr>
            <w:r>
              <w:drawing>
                <wp:anchor behindDoc="0" distT="0" distB="0" distL="114935" distR="114935" simplePos="0" locked="0" layoutInCell="0" allowOverlap="1" relativeHeight="2">
                  <wp:simplePos x="0" y="0"/>
                  <wp:positionH relativeFrom="margin">
                    <wp:posOffset>3520440</wp:posOffset>
                  </wp:positionH>
                  <wp:positionV relativeFrom="paragraph">
                    <wp:posOffset>-731520</wp:posOffset>
                  </wp:positionV>
                  <wp:extent cx="2555240" cy="77660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555240" cy="776605"/>
                          </a:xfrm>
                          <a:prstGeom prst="rect">
                            <a:avLst/>
                          </a:prstGeom>
                          <a:noFill/>
                        </pic:spPr>
                      </pic:pic>
                    </a:graphicData>
                  </a:graphic>
                </wp:anchor>
              </w:drawing>
            </w:r>
            <w:r>
              <w:rPr/>
              <w:t xml:space="preserve">KEY PRINCIPLES AND PRIORITIES TO ACHIEVE </w:t>
            </w:r>
          </w:p>
          <w:p>
            <w:pPr>
              <w:pStyle w:val="Heading1"/>
              <w:ind w:hanging="0" w:start="0"/>
              <w:rPr/>
            </w:pPr>
            <w:r>
              <w:rPr/>
              <w:t>WELL-FUNCTIONING COMPETITIVE MARKETS</w:t>
            </w:r>
          </w:p>
          <w:p>
            <w:pPr>
              <w:pStyle w:val="Normal"/>
              <w:rPr>
                <w:rFonts w:ascii="Arial" w:hAnsi="Arial" w:cs="Arial"/>
                <w:b/>
                <w:sz w:val="28"/>
              </w:rPr>
            </w:pPr>
            <w:r>
              <w:rPr>
                <w:rFonts w:cs="Arial" w:ascii="Arial" w:hAnsi="Arial"/>
                <w:b/>
                <w:sz w:val="28"/>
              </w:rPr>
              <w:t>(May 2001)</w:t>
            </w:r>
          </w:p>
        </w:tc>
        <w:tc>
          <w:tcPr>
            <w:tcW w:w="270" w:type="dxa"/>
            <w:tcBorders/>
          </w:tcPr>
          <w:p>
            <w:pPr>
              <w:pStyle w:val="Normal"/>
              <w:snapToGrid w:val="false"/>
              <w:jc w:val="end"/>
              <w:rPr>
                <w:rFonts w:ascii="Arial" w:hAnsi="Arial" w:cs="Arial"/>
                <w:b/>
                <w:sz w:val="14"/>
              </w:rPr>
            </w:pPr>
            <w:r>
              <w:rPr>
                <w:rFonts w:cs="Arial" w:ascii="Arial" w:hAnsi="Arial"/>
                <w:b/>
                <w:sz w:val="14"/>
              </w:rPr>
            </w:r>
          </w:p>
        </w:tc>
      </w:tr>
    </w:tbl>
    <w:p>
      <w:pPr>
        <w:pStyle w:val="Normal"/>
        <w:jc w:val="end"/>
        <w:rPr>
          <w:rFonts w:ascii="Arial" w:hAnsi="Arial" w:cs="Arial"/>
          <w:b/>
          <w:sz w:val="28"/>
        </w:rPr>
      </w:pPr>
      <w:r>
        <w:rPr>
          <w:rFonts w:cs="Arial" w:ascii="Arial" w:hAnsi="Arial"/>
          <w:b/>
          <w:sz w:val="28"/>
        </w:rPr>
      </w:r>
    </w:p>
    <w:p>
      <w:pPr>
        <w:pStyle w:val="Normal"/>
        <w:numPr>
          <w:ilvl w:val="0"/>
          <w:numId w:val="8"/>
        </w:numPr>
        <w:spacing w:before="0" w:after="120"/>
        <w:rPr>
          <w:rFonts w:ascii="Arial" w:hAnsi="Arial" w:cs="Arial"/>
          <w:b/>
          <w:sz w:val="28"/>
        </w:rPr>
      </w:pPr>
      <w:r>
        <w:rPr>
          <w:rFonts w:cs="Arial" w:ascii="Arial" w:hAnsi="Arial"/>
          <w:b/>
          <w:sz w:val="28"/>
        </w:rPr>
        <w:t>Generation Market Efficiency</w:t>
      </w:r>
    </w:p>
    <w:p>
      <w:pPr>
        <w:pStyle w:val="Normal"/>
        <w:numPr>
          <w:ilvl w:val="0"/>
          <w:numId w:val="7"/>
        </w:numPr>
        <w:tabs>
          <w:tab w:val="left" w:pos="720" w:leader="none"/>
        </w:tabs>
        <w:ind w:hanging="360" w:start="720" w:end="0"/>
        <w:rPr>
          <w:rFonts w:ascii="Arial" w:hAnsi="Arial" w:cs="Arial"/>
          <w:sz w:val="24"/>
        </w:rPr>
      </w:pPr>
      <w:r>
        <w:rPr>
          <w:rFonts w:cs="Arial" w:ascii="Arial" w:hAnsi="Arial"/>
          <w:sz w:val="24"/>
        </w:rPr>
        <w:t xml:space="preserve">Generation markets must be allowed to operate within a stable regulatory environment in which economic outcomes are determined by market participants’ varying responses to incentives and risk </w:t>
      </w:r>
    </w:p>
    <w:p>
      <w:pPr>
        <w:pStyle w:val="Normal"/>
        <w:numPr>
          <w:ilvl w:val="0"/>
          <w:numId w:val="7"/>
        </w:numPr>
        <w:tabs>
          <w:tab w:val="left" w:pos="720" w:leader="none"/>
        </w:tabs>
        <w:ind w:hanging="360" w:start="720" w:end="0"/>
        <w:rPr>
          <w:rFonts w:ascii="Arial" w:hAnsi="Arial" w:cs="Arial"/>
          <w:sz w:val="24"/>
        </w:rPr>
      </w:pPr>
      <w:r>
        <w:rPr>
          <w:rFonts w:cs="Arial" w:ascii="Arial" w:hAnsi="Arial"/>
          <w:sz w:val="24"/>
        </w:rPr>
        <w:t>Price and bid caps, post-transaction resettlements and other forms of regulatory intervention stunt the maturation of competitive power markets</w:t>
      </w:r>
    </w:p>
    <w:p>
      <w:pPr>
        <w:pStyle w:val="Normal"/>
        <w:numPr>
          <w:ilvl w:val="0"/>
          <w:numId w:val="7"/>
        </w:numPr>
        <w:tabs>
          <w:tab w:val="left" w:pos="720" w:leader="none"/>
        </w:tabs>
        <w:ind w:hanging="360" w:start="720" w:end="0"/>
        <w:rPr>
          <w:rFonts w:ascii="Arial" w:hAnsi="Arial" w:cs="Arial"/>
          <w:sz w:val="24"/>
        </w:rPr>
      </w:pPr>
      <w:r>
        <w:rPr>
          <w:rFonts w:cs="Arial" w:ascii="Arial" w:hAnsi="Arial"/>
          <w:sz w:val="24"/>
        </w:rPr>
        <w:t xml:space="preserve">A move towards cost-based pricing over market based rates not only threatens to eliminate the benefits of competition, but also would fail to solve the fundamental economic causes of price volatility, which include supply shortages, barriers to hedging, defective software programs, operating restrictions, lack of interregional coordination and poorly-conceived market rules </w:t>
      </w:r>
    </w:p>
    <w:p>
      <w:pPr>
        <w:pStyle w:val="Normal"/>
        <w:numPr>
          <w:ilvl w:val="0"/>
          <w:numId w:val="7"/>
        </w:numPr>
        <w:tabs>
          <w:tab w:val="left" w:pos="720" w:leader="none"/>
        </w:tabs>
        <w:ind w:hanging="360" w:start="720" w:end="0"/>
        <w:rPr>
          <w:rFonts w:ascii="Arial" w:hAnsi="Arial" w:cs="Arial"/>
          <w:sz w:val="24"/>
        </w:rPr>
      </w:pPr>
      <w:r>
        <w:rPr>
          <w:rFonts w:cs="Arial" w:ascii="Arial" w:hAnsi="Arial"/>
          <w:sz w:val="24"/>
        </w:rPr>
        <w:t>Price caps and other market interventions distort price signals, thus inhibiting investment in new generation and transmission needed to ensure reliability</w:t>
      </w:r>
    </w:p>
    <w:p>
      <w:pPr>
        <w:pStyle w:val="Normal"/>
        <w:numPr>
          <w:ilvl w:val="0"/>
          <w:numId w:val="7"/>
        </w:numPr>
        <w:tabs>
          <w:tab w:val="left" w:pos="720" w:leader="none"/>
        </w:tabs>
        <w:ind w:hanging="360" w:start="720" w:end="0"/>
        <w:rPr>
          <w:rFonts w:ascii="Arial" w:hAnsi="Arial" w:cs="Arial"/>
          <w:sz w:val="24"/>
        </w:rPr>
      </w:pPr>
      <w:r>
        <w:rPr>
          <w:rFonts w:cs="Arial" w:ascii="Arial" w:hAnsi="Arial"/>
          <w:sz w:val="24"/>
        </w:rPr>
        <w:t xml:space="preserve">Price caps provide free “regulatory hedges” for Load Serving Entities, discouraging the development and use of  financial and physical risk management tools integral to robust competitive markets </w:t>
      </w:r>
    </w:p>
    <w:p>
      <w:pPr>
        <w:pStyle w:val="Normal"/>
        <w:numPr>
          <w:ilvl w:val="0"/>
          <w:numId w:val="7"/>
        </w:numPr>
        <w:tabs>
          <w:tab w:val="left" w:pos="720" w:leader="none"/>
        </w:tabs>
        <w:spacing w:before="0" w:after="120"/>
        <w:ind w:hanging="360" w:start="720" w:end="0"/>
        <w:rPr>
          <w:rFonts w:ascii="Arial" w:hAnsi="Arial" w:cs="Arial"/>
          <w:sz w:val="24"/>
        </w:rPr>
      </w:pPr>
      <w:r>
        <w:rPr>
          <w:rFonts w:cs="Arial" w:ascii="Arial" w:hAnsi="Arial"/>
          <w:sz w:val="24"/>
        </w:rPr>
        <w:t xml:space="preserve">The role of existing ISOs and RTOs must be limited to operating the transmission system, and their involvement in generation markets should be limited to real-time balancing and coordination  </w:t>
      </w:r>
    </w:p>
    <w:p>
      <w:pPr>
        <w:pStyle w:val="Normal"/>
        <w:numPr>
          <w:ilvl w:val="0"/>
          <w:numId w:val="2"/>
        </w:numPr>
        <w:spacing w:before="0" w:after="120"/>
        <w:rPr>
          <w:rFonts w:ascii="Arial" w:hAnsi="Arial" w:cs="Arial"/>
          <w:sz w:val="24"/>
        </w:rPr>
      </w:pPr>
      <w:r>
        <w:rPr>
          <w:rFonts w:cs="Arial" w:ascii="Arial" w:hAnsi="Arial"/>
          <w:b/>
          <w:sz w:val="28"/>
        </w:rPr>
        <w:t>Transmission Market Efficiency</w:t>
      </w:r>
    </w:p>
    <w:p>
      <w:pPr>
        <w:pStyle w:val="Normal"/>
        <w:numPr>
          <w:ilvl w:val="0"/>
          <w:numId w:val="6"/>
        </w:numPr>
        <w:tabs>
          <w:tab w:val="left" w:pos="720" w:leader="none"/>
        </w:tabs>
        <w:ind w:hanging="360" w:start="720" w:end="0"/>
        <w:rPr>
          <w:rFonts w:ascii="Arial" w:hAnsi="Arial" w:cs="Arial"/>
          <w:sz w:val="24"/>
        </w:rPr>
      </w:pPr>
      <w:r>
        <w:rPr>
          <w:rFonts w:cs="Arial" w:ascii="Arial" w:hAnsi="Arial"/>
          <w:sz w:val="24"/>
        </w:rPr>
        <w:t>RTO development is proceeding on an uneven and inconsistent basis.  The Commission needs to re-think its voluntary approach to RTO development, as well as ensure that all RTOs support robust competitive markets</w:t>
      </w:r>
    </w:p>
    <w:p>
      <w:pPr>
        <w:pStyle w:val="Normal"/>
        <w:numPr>
          <w:ilvl w:val="0"/>
          <w:numId w:val="6"/>
        </w:numPr>
        <w:tabs>
          <w:tab w:val="left" w:pos="720" w:leader="none"/>
        </w:tabs>
        <w:ind w:hanging="360" w:start="720" w:end="0"/>
        <w:rPr>
          <w:rFonts w:ascii="Arial" w:hAnsi="Arial" w:cs="Arial"/>
          <w:sz w:val="24"/>
        </w:rPr>
      </w:pPr>
      <w:r>
        <w:rPr>
          <w:rFonts w:cs="Arial" w:ascii="Arial" w:hAnsi="Arial"/>
          <w:sz w:val="24"/>
        </w:rPr>
        <w:t>Failure to adequately address RTO seams issues will result in continued frustration of market development thorough an excessive number of boundaries, a lack of consistent market rules needed for interregional trading, the inability of NERC and the RTOs/ISOs to develop and implement consistent, market-friendly procedures for scheduling, confirming and redispatching transactions, interregional market efficiencies, and high transaction costs</w:t>
      </w:r>
    </w:p>
    <w:p>
      <w:pPr>
        <w:pStyle w:val="Normal"/>
        <w:numPr>
          <w:ilvl w:val="0"/>
          <w:numId w:val="6"/>
        </w:numPr>
        <w:tabs>
          <w:tab w:val="left" w:pos="720" w:leader="none"/>
        </w:tabs>
        <w:ind w:hanging="360" w:start="720" w:end="0"/>
        <w:rPr>
          <w:rFonts w:ascii="Arial" w:hAnsi="Arial" w:cs="Arial"/>
          <w:sz w:val="24"/>
        </w:rPr>
      </w:pPr>
      <w:r>
        <w:rPr>
          <w:rFonts w:cs="Arial" w:ascii="Arial" w:hAnsi="Arial"/>
          <w:sz w:val="24"/>
        </w:rPr>
        <w:t>When power is sold, the seller must have advance knowledge of what it is going to cost to deliver it</w:t>
      </w:r>
    </w:p>
    <w:p>
      <w:pPr>
        <w:pStyle w:val="Normal"/>
        <w:numPr>
          <w:ilvl w:val="0"/>
          <w:numId w:val="6"/>
        </w:numPr>
        <w:tabs>
          <w:tab w:val="left" w:pos="720" w:leader="none"/>
        </w:tabs>
        <w:ind w:hanging="360" w:start="720" w:end="0"/>
        <w:rPr>
          <w:rFonts w:ascii="Arial" w:hAnsi="Arial" w:cs="Arial"/>
          <w:sz w:val="24"/>
        </w:rPr>
      </w:pPr>
      <w:r>
        <w:rPr>
          <w:rFonts w:cs="Arial" w:ascii="Arial" w:hAnsi="Arial"/>
          <w:sz w:val="24"/>
        </w:rPr>
        <w:t>Region-wide market solutions to congestion management are needed</w:t>
      </w:r>
    </w:p>
    <w:p>
      <w:pPr>
        <w:pStyle w:val="Normal"/>
        <w:numPr>
          <w:ilvl w:val="0"/>
          <w:numId w:val="6"/>
        </w:numPr>
        <w:tabs>
          <w:tab w:val="left" w:pos="720" w:leader="none"/>
        </w:tabs>
        <w:ind w:hanging="360" w:start="720" w:end="0"/>
        <w:rPr>
          <w:rFonts w:ascii="Arial" w:hAnsi="Arial" w:cs="Arial"/>
          <w:sz w:val="24"/>
        </w:rPr>
      </w:pPr>
      <w:r>
        <w:rPr>
          <w:rFonts w:cs="Arial" w:ascii="Arial" w:hAnsi="Arial"/>
          <w:sz w:val="24"/>
        </w:rPr>
        <w:t>OASIS, E-tagging, ATC calculation and scheduling and other procedures need to be streamlined and standardized, providing one-stop shopping for transmission products that incorporate varying levels of (1) access; (2) price; (3) probability of deliverability; and (4) purchase of other upgraded services, such as redispatch</w:t>
      </w:r>
    </w:p>
    <w:p>
      <w:pPr>
        <w:pStyle w:val="Normal"/>
        <w:numPr>
          <w:ilvl w:val="0"/>
          <w:numId w:val="6"/>
        </w:numPr>
        <w:tabs>
          <w:tab w:val="left" w:pos="720" w:leader="none"/>
        </w:tabs>
        <w:spacing w:before="0" w:after="120"/>
        <w:ind w:hanging="360" w:start="720" w:end="0"/>
        <w:rPr>
          <w:rFonts w:ascii="Arial" w:hAnsi="Arial" w:cs="Arial"/>
          <w:sz w:val="24"/>
        </w:rPr>
      </w:pPr>
      <w:r>
        <w:rPr>
          <w:rFonts w:cs="Arial" w:ascii="Arial" w:hAnsi="Arial"/>
          <w:sz w:val="24"/>
        </w:rPr>
        <w:t>The transmission and market functions must be fully separated</w:t>
      </w:r>
    </w:p>
    <w:p>
      <w:pPr>
        <w:pStyle w:val="Normal"/>
        <w:numPr>
          <w:ilvl w:val="0"/>
          <w:numId w:val="3"/>
        </w:numPr>
        <w:spacing w:before="0" w:after="120"/>
        <w:rPr>
          <w:rFonts w:ascii="Arial" w:hAnsi="Arial" w:cs="Arial"/>
          <w:sz w:val="24"/>
        </w:rPr>
      </w:pPr>
      <w:r>
        <w:rPr>
          <w:rFonts w:cs="Arial" w:ascii="Arial" w:hAnsi="Arial"/>
          <w:b/>
          <w:sz w:val="28"/>
        </w:rPr>
        <w:t>Interconnection Policy</w:t>
      </w:r>
    </w:p>
    <w:p>
      <w:pPr>
        <w:pStyle w:val="Normal"/>
        <w:numPr>
          <w:ilvl w:val="0"/>
          <w:numId w:val="4"/>
        </w:numPr>
        <w:tabs>
          <w:tab w:val="left" w:pos="720" w:leader="none"/>
        </w:tabs>
        <w:ind w:hanging="360" w:start="720" w:end="0"/>
        <w:rPr>
          <w:rFonts w:ascii="Arial" w:hAnsi="Arial" w:cs="Arial"/>
          <w:sz w:val="24"/>
        </w:rPr>
      </w:pPr>
      <w:r>
        <w:rPr>
          <w:rFonts w:cs="Arial" w:ascii="Arial" w:hAnsi="Arial"/>
          <w:sz w:val="24"/>
        </w:rPr>
        <w:t>The interconnection of new generation to the transmission system is critical to development of robust and efficient competitive markets that in turn ensure reliability</w:t>
      </w:r>
    </w:p>
    <w:p>
      <w:pPr>
        <w:pStyle w:val="Normal"/>
        <w:numPr>
          <w:ilvl w:val="0"/>
          <w:numId w:val="4"/>
        </w:numPr>
        <w:tabs>
          <w:tab w:val="left" w:pos="720" w:leader="none"/>
        </w:tabs>
        <w:ind w:hanging="360" w:start="720" w:end="0"/>
        <w:rPr>
          <w:rFonts w:ascii="Arial" w:hAnsi="Arial" w:cs="Arial"/>
          <w:sz w:val="24"/>
        </w:rPr>
      </w:pPr>
      <w:r>
        <w:rPr>
          <w:rFonts w:cs="Arial" w:ascii="Arial" w:hAnsi="Arial"/>
          <w:sz w:val="24"/>
        </w:rPr>
        <w:t>Cumbersome, time-consuming and expensive interconnection requirements and non-uniform procedures create artificial barriers to entry, delaying the development of competitive markets, threatening reliability and undermining the accomplishment of the goals established in Order No. 888</w:t>
      </w:r>
    </w:p>
    <w:p>
      <w:pPr>
        <w:pStyle w:val="Normal"/>
        <w:numPr>
          <w:ilvl w:val="0"/>
          <w:numId w:val="4"/>
        </w:numPr>
        <w:tabs>
          <w:tab w:val="left" w:pos="720" w:leader="none"/>
        </w:tabs>
        <w:spacing w:before="0" w:after="120"/>
        <w:ind w:hanging="360" w:start="720" w:end="0"/>
        <w:rPr>
          <w:rFonts w:ascii="Arial" w:hAnsi="Arial" w:cs="Arial"/>
          <w:sz w:val="24"/>
        </w:rPr>
      </w:pPr>
      <w:r>
        <w:rPr>
          <w:rFonts w:cs="Arial" w:ascii="Arial" w:hAnsi="Arial"/>
          <w:sz w:val="24"/>
        </w:rPr>
        <w:t>Due to the system benefits associated with their interconnection, and inherent comparability problems, generators should either not be assigned system upgrade costs, or receive transmission credits on a dollar-for-dollar basis</w:t>
      </w:r>
    </w:p>
    <w:p>
      <w:pPr>
        <w:pStyle w:val="Normal"/>
        <w:numPr>
          <w:ilvl w:val="0"/>
          <w:numId w:val="5"/>
        </w:numPr>
        <w:spacing w:before="0" w:after="120"/>
        <w:rPr>
          <w:rFonts w:ascii="Arial" w:hAnsi="Arial" w:cs="Arial"/>
          <w:sz w:val="24"/>
        </w:rPr>
      </w:pPr>
      <w:r>
        <w:rPr>
          <w:rFonts w:cs="Arial" w:ascii="Arial" w:hAnsi="Arial"/>
          <w:b/>
          <w:sz w:val="28"/>
        </w:rPr>
        <w:t>Comparabilty</w:t>
      </w:r>
    </w:p>
    <w:p>
      <w:pPr>
        <w:pStyle w:val="Normal"/>
        <w:numPr>
          <w:ilvl w:val="0"/>
          <w:numId w:val="9"/>
        </w:numPr>
        <w:tabs>
          <w:tab w:val="left" w:pos="720" w:leader="none"/>
        </w:tabs>
        <w:ind w:hanging="360" w:start="720" w:end="0"/>
        <w:rPr>
          <w:rFonts w:ascii="Arial" w:hAnsi="Arial" w:cs="Arial"/>
          <w:sz w:val="24"/>
        </w:rPr>
      </w:pPr>
      <w:r>
        <w:rPr>
          <w:rFonts w:cs="Arial" w:ascii="Arial" w:hAnsi="Arial"/>
          <w:sz w:val="24"/>
        </w:rPr>
        <w:t>RTOs are not consistently addressing the need for non-discriminatory access to transmission services.  While some RTOs are putting all uses of the system under the same tariff, others, including some conditionally approved by the Commission, are not.  This discrimination takes three forms: (1) perpetuating the dichotomy between point-to-point and network services; (2) excessive grandfathering; and (3) allowing transmission owners within RTOs to take service under their own (more favorable) tariffs</w:t>
      </w:r>
    </w:p>
    <w:p>
      <w:pPr>
        <w:pStyle w:val="Normal"/>
        <w:numPr>
          <w:ilvl w:val="0"/>
          <w:numId w:val="9"/>
        </w:numPr>
        <w:tabs>
          <w:tab w:val="left" w:pos="720" w:leader="none"/>
        </w:tabs>
        <w:ind w:hanging="360" w:start="720" w:end="0"/>
        <w:rPr>
          <w:rFonts w:ascii="Arial" w:hAnsi="Arial" w:cs="Arial"/>
          <w:sz w:val="24"/>
        </w:rPr>
      </w:pPr>
      <w:r>
        <w:rPr>
          <w:rFonts w:cs="Arial" w:ascii="Arial" w:hAnsi="Arial"/>
          <w:sz w:val="24"/>
        </w:rPr>
        <w:t>The Commission needs to adopt a single tariff that ensures that all users of the transmission grid are subject to the same rate schedules, terms and conditions of service</w:t>
      </w:r>
    </w:p>
    <w:p>
      <w:pPr>
        <w:pStyle w:val="Normal"/>
        <w:numPr>
          <w:ilvl w:val="0"/>
          <w:numId w:val="9"/>
        </w:numPr>
        <w:tabs>
          <w:tab w:val="left" w:pos="720" w:leader="none"/>
        </w:tabs>
        <w:ind w:hanging="360" w:start="720" w:end="0"/>
        <w:rPr>
          <w:rFonts w:ascii="Arial" w:hAnsi="Arial" w:cs="Arial"/>
          <w:sz w:val="24"/>
        </w:rPr>
      </w:pPr>
      <w:r>
        <w:rPr>
          <w:rFonts w:cs="Arial" w:ascii="Arial" w:hAnsi="Arial"/>
          <w:sz w:val="24"/>
        </w:rPr>
        <w:t>Generators should have the same option as other transmission customers to receive network service</w:t>
      </w:r>
    </w:p>
    <w:p>
      <w:pPr>
        <w:pStyle w:val="Normal"/>
        <w:numPr>
          <w:ilvl w:val="0"/>
          <w:numId w:val="9"/>
        </w:numPr>
        <w:tabs>
          <w:tab w:val="left" w:pos="720" w:leader="none"/>
        </w:tabs>
        <w:ind w:hanging="360" w:start="720" w:end="0"/>
        <w:rPr>
          <w:rFonts w:ascii="Arial" w:hAnsi="Arial" w:cs="Arial"/>
          <w:sz w:val="24"/>
        </w:rPr>
      </w:pPr>
      <w:r>
        <w:rPr>
          <w:rFonts w:cs="Arial" w:ascii="Arial" w:hAnsi="Arial"/>
          <w:sz w:val="24"/>
        </w:rPr>
        <w:t>Utilities with control areas should not be permitted to enjoy superior scheduling flexibility by imposing “source and sink” requirements on transmission customers</w:t>
      </w:r>
    </w:p>
    <w:p>
      <w:pPr>
        <w:pStyle w:val="Normal"/>
        <w:numPr>
          <w:ilvl w:val="0"/>
          <w:numId w:val="9"/>
        </w:numPr>
        <w:tabs>
          <w:tab w:val="left" w:pos="720" w:leader="none"/>
        </w:tabs>
        <w:ind w:hanging="360" w:start="720" w:end="0"/>
        <w:rPr>
          <w:rFonts w:ascii="Arial" w:hAnsi="Arial" w:cs="Arial"/>
          <w:sz w:val="24"/>
        </w:rPr>
      </w:pPr>
      <w:r>
        <w:rPr>
          <w:rFonts w:cs="Arial" w:ascii="Arial" w:hAnsi="Arial"/>
          <w:sz w:val="24"/>
        </w:rPr>
        <w:t>Competitive power suppliers must be able to offer their customers the same quality service that utilities offer theirs</w:t>
      </w:r>
    </w:p>
    <w:p>
      <w:pPr>
        <w:pStyle w:val="Normal"/>
        <w:numPr>
          <w:ilvl w:val="0"/>
          <w:numId w:val="9"/>
        </w:numPr>
        <w:tabs>
          <w:tab w:val="left" w:pos="720" w:leader="none"/>
        </w:tabs>
        <w:ind w:hanging="360" w:start="720" w:end="0"/>
        <w:rPr>
          <w:rFonts w:ascii="Arial" w:hAnsi="Arial" w:cs="Arial"/>
          <w:sz w:val="24"/>
        </w:rPr>
      </w:pPr>
      <w:r>
        <w:rPr>
          <w:rFonts w:cs="Arial" w:ascii="Arial" w:hAnsi="Arial"/>
          <w:sz w:val="24"/>
        </w:rPr>
        <w:t>Comparability will eliminate residual discrimination and the utility incentives to disadvantage other market participants</w:t>
      </w:r>
    </w:p>
    <w:p>
      <w:pPr>
        <w:pStyle w:val="Normal"/>
        <w:numPr>
          <w:ilvl w:val="0"/>
          <w:numId w:val="9"/>
        </w:numPr>
        <w:tabs>
          <w:tab w:val="left" w:pos="720" w:leader="none"/>
        </w:tabs>
        <w:ind w:hanging="360" w:start="720" w:end="0"/>
        <w:rPr>
          <w:rFonts w:ascii="Arial" w:hAnsi="Arial" w:cs="Arial"/>
          <w:sz w:val="24"/>
        </w:rPr>
      </w:pPr>
      <w:r>
        <w:rPr>
          <w:rFonts w:cs="Arial" w:ascii="Arial" w:hAnsi="Arial"/>
          <w:sz w:val="24"/>
        </w:rPr>
        <w:t xml:space="preserve">Discriminatory behavior must be addressed through an expedited complaint and enforcement mechanism  </w:t>
      </w:r>
    </w:p>
    <w:sectPr>
      <w:headerReference w:type="default" r:id="rId3"/>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28"/>
      </w:rPr>
    </w:pPr>
    <w:r>
      <w:rPr>
        <w:rFonts w:cs="Arial" w:ascii="Arial" w:hAnsi="Arial"/>
        <w:b/>
        <w:sz w:val="28"/>
      </w:rPr>
      <w:t>Draft – 5/8/01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32"/>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Symbol" w:hAnsi="Symbol" w:cs="Symbol"/>
    </w:rPr>
  </w:style>
  <w:style w:type="character" w:styleId="WW8Num4z0">
    <w:name w:val="WW8Num4z0"/>
    <w:qFormat/>
    <w:rPr>
      <w:rFonts w:ascii="Wingdings" w:hAnsi="Wingdings" w:cs="Wingdings"/>
      <w:sz w:val="1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2001-05-02T12:39:00Z</dcterms:created>
  <dc:creator>EPSA Staff</dc:creator>
  <dc:description/>
  <dc:language>en-CA</dc:language>
  <cp:lastModifiedBy>Jackie Gallagher</cp:lastModifiedBy>
  <cp:lastPrinted>2001-05-07T17:21:00Z</cp:lastPrinted>
  <dcterms:modified xsi:type="dcterms:W3CDTF">2001-05-08T11:19:00Z</dcterms:modified>
  <cp:revision>9</cp:revision>
  <dc:subject/>
  <dc:title>EPSA’s TOP REGULATORY ISSUES FOR 2000:</dc:title>
</cp:coreProperties>
</file>