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58" w:type="dxa"/>
        <w:jc w:val="start"/>
        <w:tblInd w:w="0" w:type="dxa"/>
        <w:tblLayout w:type="fixed"/>
        <w:tblCellMar>
          <w:top w:w="0" w:type="dxa"/>
          <w:start w:w="108" w:type="dxa"/>
          <w:bottom w:w="0" w:type="dxa"/>
          <w:end w:w="108" w:type="dxa"/>
        </w:tblCellMar>
      </w:tblPr>
      <w:tblGrid>
        <w:gridCol w:w="1098"/>
        <w:gridCol w:w="2610"/>
        <w:gridCol w:w="1439"/>
        <w:gridCol w:w="901"/>
        <w:gridCol w:w="810"/>
        <w:gridCol w:w="3600"/>
      </w:tblGrid>
      <w:tr>
        <w:trPr>
          <w:trHeight w:val="1250" w:hRule="atLeast"/>
        </w:trPr>
        <w:tc>
          <w:tcPr>
            <w:tcW w:w="5147" w:type="dxa"/>
            <w:gridSpan w:val="3"/>
            <w:tcBorders/>
          </w:tcPr>
          <w:p>
            <w:pPr>
              <w:pStyle w:val="Normal"/>
              <w:ind w:hanging="720" w:start="720" w:end="0"/>
              <w:rPr/>
            </w:pPr>
            <w:r>
              <w:rPr/>
              <w:t xml:space="preserve"> </w:t>
            </w:r>
            <w:r>
              <w:rPr/>
              <w:drawing>
                <wp:inline distT="0" distB="0" distL="0" distR="0">
                  <wp:extent cx="2102485" cy="619125"/>
                  <wp:effectExtent l="0" t="0" r="0" b="0"/>
                  <wp:docPr id="1" name="Black%20no%20gradient%20w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20no%20gradient%20w_sm" descr="" title=""/>
                          <pic:cNvPicPr>
                            <a:picLocks noChangeAspect="1" noChangeArrowheads="1"/>
                          </pic:cNvPicPr>
                        </pic:nvPicPr>
                        <pic:blipFill>
                          <a:blip r:embed="rId2"/>
                          <a:srcRect l="-14" t="-47" r="-14" b="-47"/>
                          <a:stretch>
                            <a:fillRect/>
                          </a:stretch>
                        </pic:blipFill>
                        <pic:spPr bwMode="auto">
                          <a:xfrm>
                            <a:off x="0" y="0"/>
                            <a:ext cx="2102485" cy="619125"/>
                          </a:xfrm>
                          <a:prstGeom prst="rect">
                            <a:avLst/>
                          </a:prstGeom>
                          <a:noFill/>
                        </pic:spPr>
                      </pic:pic>
                    </a:graphicData>
                  </a:graphic>
                </wp:inline>
              </w:drawing>
            </w:r>
          </w:p>
        </w:tc>
        <w:tc>
          <w:tcPr>
            <w:tcW w:w="5311" w:type="dxa"/>
            <w:gridSpan w:val="3"/>
            <w:tcBorders/>
          </w:tcPr>
          <w:p>
            <w:pPr>
              <w:pStyle w:val="Normal"/>
              <w:ind w:hanging="720" w:start="720" w:end="0"/>
              <w:jc w:val="end"/>
              <w:rPr>
                <w:sz w:val="18"/>
              </w:rPr>
            </w:pPr>
            <w:r>
              <w:rPr>
                <w:sz w:val="18"/>
              </w:rPr>
              <w:t>DEPARTMENTAL CORRESPONDENCE</w:t>
            </w:r>
          </w:p>
        </w:tc>
      </w:tr>
      <w:tr>
        <w:trPr>
          <w:trHeight w:val="360" w:hRule="atLeast"/>
        </w:trPr>
        <w:tc>
          <w:tcPr>
            <w:tcW w:w="10458" w:type="dxa"/>
            <w:gridSpan w:val="6"/>
            <w:tcBorders/>
          </w:tcPr>
          <w:p>
            <w:pPr>
              <w:pStyle w:val="Normal"/>
              <w:snapToGrid w:val="false"/>
              <w:rPr/>
            </w:pPr>
            <w:r>
              <w:rPr/>
            </w:r>
          </w:p>
        </w:tc>
      </w:tr>
      <w:tr>
        <w:trPr>
          <w:trHeight w:val="810" w:hRule="atLeast"/>
        </w:trPr>
        <w:tc>
          <w:tcPr>
            <w:tcW w:w="1098" w:type="dxa"/>
            <w:tcBorders/>
          </w:tcPr>
          <w:p>
            <w:pPr>
              <w:pStyle w:val="Normal"/>
              <w:rPr>
                <w:sz w:val="22"/>
              </w:rPr>
            </w:pPr>
            <w:r>
              <w:rPr>
                <w:sz w:val="22"/>
              </w:rPr>
              <w:t>Subject:</w:t>
            </w:r>
          </w:p>
        </w:tc>
        <w:tc>
          <w:tcPr>
            <w:tcW w:w="4950" w:type="dxa"/>
            <w:gridSpan w:val="3"/>
            <w:tcBorders/>
          </w:tcPr>
          <w:p>
            <w:pPr>
              <w:pStyle w:val="Normal"/>
              <w:rPr>
                <w:rFonts w:ascii="Arial" w:hAnsi="Arial" w:cs="Arial"/>
                <w:sz w:val="22"/>
              </w:rPr>
            </w:pPr>
            <w:r>
              <w:rPr>
                <w:rFonts w:cs="Arial" w:ascii="Arial" w:hAnsi="Arial"/>
                <w:sz w:val="22"/>
              </w:rPr>
              <w:t>May 2001 Baseload Contract Price Conversion for The Peoples Gas Light &amp; Coke Company</w:t>
            </w:r>
          </w:p>
        </w:tc>
        <w:tc>
          <w:tcPr>
            <w:tcW w:w="810" w:type="dxa"/>
            <w:tcBorders/>
          </w:tcPr>
          <w:p>
            <w:pPr>
              <w:pStyle w:val="Normal"/>
              <w:rPr>
                <w:sz w:val="22"/>
              </w:rPr>
            </w:pPr>
            <w:r>
              <w:rPr>
                <w:sz w:val="22"/>
              </w:rPr>
              <w:t>Date:</w:t>
            </w:r>
          </w:p>
        </w:tc>
        <w:tc>
          <w:tcPr>
            <w:tcW w:w="3600" w:type="dxa"/>
            <w:tcBorders/>
          </w:tcPr>
          <w:p>
            <w:pPr>
              <w:pStyle w:val="Normal"/>
              <w:rPr>
                <w:rFonts w:ascii="Arial" w:hAnsi="Arial" w:cs="Arial"/>
                <w:sz w:val="22"/>
              </w:rPr>
            </w:pPr>
            <w:r>
              <w:rPr>
                <w:rFonts w:cs="Arial" w:ascii="Arial" w:hAnsi="Arial"/>
                <w:sz w:val="22"/>
              </w:rPr>
              <w:t>April 24,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rHeight w:val="828" w:hRule="atLeast"/>
        </w:trPr>
        <w:tc>
          <w:tcPr>
            <w:tcW w:w="1098" w:type="dxa"/>
            <w:tcBorders/>
          </w:tcPr>
          <w:p>
            <w:pPr>
              <w:pStyle w:val="Normal"/>
              <w:rPr>
                <w:sz w:val="22"/>
              </w:rPr>
            </w:pPr>
            <w:r>
              <w:rPr>
                <w:sz w:val="22"/>
              </w:rPr>
              <w:t>To:</w:t>
            </w:r>
          </w:p>
        </w:tc>
        <w:tc>
          <w:tcPr>
            <w:tcW w:w="2610" w:type="dxa"/>
            <w:tcBorders/>
          </w:tcPr>
          <w:p>
            <w:pPr>
              <w:pStyle w:val="Normal"/>
              <w:rPr>
                <w:rFonts w:ascii="Arial" w:hAnsi="Arial" w:cs="Arial"/>
                <w:sz w:val="22"/>
              </w:rPr>
            </w:pPr>
            <w:r>
              <w:rPr>
                <w:rFonts w:cs="Arial" w:ascii="Arial" w:hAnsi="Arial"/>
                <w:sz w:val="22"/>
              </w:rPr>
              <w:t>D. Wear</w:t>
            </w:r>
          </w:p>
          <w:p>
            <w:pPr>
              <w:pStyle w:val="Normal"/>
              <w:rPr>
                <w:rFonts w:ascii="Arial" w:hAnsi="Arial" w:cs="Arial"/>
                <w:sz w:val="22"/>
              </w:rPr>
            </w:pPr>
            <w:r>
              <w:rPr>
                <w:rFonts w:cs="Arial" w:ascii="Arial" w:hAnsi="Arial"/>
                <w:sz w:val="22"/>
              </w:rPr>
              <w:t>File</w:t>
            </w:r>
          </w:p>
        </w:tc>
        <w:tc>
          <w:tcPr>
            <w:tcW w:w="2340" w:type="dxa"/>
            <w:gridSpan w:val="2"/>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rPr>
                <w:sz w:val="22"/>
              </w:rPr>
            </w:pPr>
            <w:r>
              <w:rPr>
                <w:sz w:val="22"/>
              </w:rPr>
              <w:t>From:</w:t>
            </w:r>
          </w:p>
        </w:tc>
        <w:tc>
          <w:tcPr>
            <w:tcW w:w="3600" w:type="dxa"/>
            <w:tcBorders/>
          </w:tcPr>
          <w:p>
            <w:pPr>
              <w:pStyle w:val="Normal"/>
              <w:rPr>
                <w:rFonts w:ascii="Arial" w:hAnsi="Arial" w:cs="Arial"/>
                <w:sz w:val="22"/>
              </w:rPr>
            </w:pPr>
            <w:r>
              <w:rPr>
                <w:rFonts w:cs="Arial" w:ascii="Arial" w:hAnsi="Arial"/>
                <w:sz w:val="22"/>
              </w:rPr>
              <w:t>J. Slechta</w:t>
            </w:r>
          </w:p>
        </w:tc>
      </w:tr>
      <w:tr>
        <w:trPr>
          <w:trHeight w:val="792" w:hRule="atLeast"/>
        </w:trPr>
        <w:tc>
          <w:tcPr>
            <w:tcW w:w="6048" w:type="dxa"/>
            <w:gridSpan w:val="4"/>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rPr>
                <w:sz w:val="22"/>
              </w:rPr>
            </w:pPr>
            <w:r>
              <w:rPr>
                <w:sz w:val="22"/>
              </w:rPr>
              <w:t xml:space="preserve">Copy: </w:t>
            </w:r>
          </w:p>
          <w:p>
            <w:pPr>
              <w:pStyle w:val="Normal"/>
              <w:rPr>
                <w:sz w:val="22"/>
              </w:rPr>
            </w:pPr>
            <w:r>
              <w:rPr>
                <w:sz w:val="22"/>
              </w:rPr>
              <w:t>To</w:t>
            </w:r>
          </w:p>
        </w:tc>
        <w:tc>
          <w:tcPr>
            <w:tcW w:w="3600" w:type="dxa"/>
            <w:tcBorders/>
          </w:tcPr>
          <w:p>
            <w:pPr>
              <w:pStyle w:val="Normal"/>
              <w:rPr>
                <w:rFonts w:ascii="Arial" w:hAnsi="Arial" w:cs="Arial"/>
                <w:sz w:val="22"/>
              </w:rPr>
            </w:pPr>
            <w:r>
              <w:rPr>
                <w:rFonts w:cs="Arial" w:ascii="Arial" w:hAnsi="Arial"/>
                <w:sz w:val="22"/>
              </w:rPr>
              <w:t>A. Akkerman                                C. Blachut</w:t>
            </w:r>
          </w:p>
          <w:p>
            <w:pPr>
              <w:pStyle w:val="Normal"/>
              <w:rPr>
                <w:rFonts w:ascii="Arial" w:hAnsi="Arial" w:cs="Arial"/>
                <w:sz w:val="22"/>
              </w:rPr>
            </w:pPr>
            <w:r>
              <w:rPr>
                <w:rFonts w:cs="Arial" w:ascii="Arial" w:hAnsi="Arial"/>
                <w:sz w:val="22"/>
              </w:rPr>
              <w:t>T. Smith</w:t>
            </w:r>
          </w:p>
          <w:p>
            <w:pPr>
              <w:pStyle w:val="Normal"/>
              <w:rPr>
                <w:rFonts w:ascii="Arial" w:hAnsi="Arial" w:cs="Arial"/>
                <w:sz w:val="22"/>
              </w:rPr>
            </w:pPr>
            <w:r>
              <w:rPr>
                <w:rFonts w:cs="Arial" w:ascii="Arial" w:hAnsi="Arial"/>
                <w:sz w:val="22"/>
              </w:rPr>
              <w:t>S. Holler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bl>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t xml:space="preserve">For May, 2001, PGL elected to convert 50,000 mmbtu/d of contract BASELOAD QUANTITY citygate purchases from Enron from the contract price of Natural Gas Intelligence Weekly FOM Chicago Citygate Illinois via NGPL to Gas Daily, daily Citygate Chicago LDC’s large end-users, Daily Mid-point minus $.02. </w:t>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ab/>
        <w:t xml:space="preserve">     c.c.  R. de Lara</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ab/>
        <w:tab/>
        <w:t xml:space="preserve">    W. Morrow</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B. Dillard-Radous</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H. Shively</w:t>
      </w:r>
    </w:p>
    <w:p>
      <w:pPr>
        <w:pStyle w:val="Normal"/>
        <w:tabs>
          <w:tab w:val="clear" w:pos="720"/>
          <w:tab w:val="left" w:pos="1080" w:leader="none"/>
          <w:tab w:val="left" w:pos="1260" w:leader="none"/>
        </w:tabs>
        <w:rPr>
          <w:rFonts w:ascii="Arial" w:hAnsi="Arial" w:cs="Arial"/>
          <w:sz w:val="22"/>
        </w:rPr>
      </w:pPr>
      <w:r>
        <w:rPr>
          <w:rFonts w:cs="Arial" w:ascii="Arial" w:hAnsi="Arial"/>
          <w:sz w:val="22"/>
        </w:rPr>
        <w:tab/>
        <w:tab/>
        <w:tab/>
        <w:t xml:space="preserve"> J.  Williams</w:t>
        <w:tab/>
      </w:r>
    </w:p>
    <w:sectPr>
      <w:footerReference w:type="default" r:id="rId3"/>
      <w:type w:val="nextPage"/>
      <w:pgSz w:w="12240" w:h="15840"/>
      <w:pgMar w:left="720" w:right="1440"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Form 832   01-01-99</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2001-04-24T18:27:00Z</dcterms:created>
  <dc:creator>HANNO</dc:creator>
  <dc:description/>
  <dc:language>en-CA</dc:language>
  <cp:lastModifiedBy>SLECH</cp:lastModifiedBy>
  <cp:lastPrinted>1999-12-28T14:12:00Z</cp:lastPrinted>
  <dcterms:modified xsi:type="dcterms:W3CDTF">2001-04-24T18:27:00Z</dcterms:modified>
  <cp:revision>2</cp:revision>
  <dc:subject/>
  <dc:title> </dc:title>
</cp:coreProperties>
</file>